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>
        <w:trPr>
          <w:trHeight w:val="2160"/>
        </w:trPr>
        <w:tc>
          <w:tcP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EB Garamond" w:hAnsi="EB Garamond" w:cs="EB Garamond" w:eastAsia="EB Garamond"/>
                <w:sz w:val="20"/>
                <w:szCs w:val="20"/>
              </w:rPr>
            </w:pPr>
            <w:r>
              <w:object w:dxaOrig="3000" w:dyaOrig="34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89.2pt;height:100.5pt;" filled="f" stroked="f">
                  <v:path textboxrect="0,0,0,0"/>
                  <v:imagedata r:id="rId9" o:title=""/>
                </v:shape>
                <o:OLEObject DrawAspect="Content" r:id="rId10" ObjectID="_1525040" ProgID="PBrush" ShapeID="_x0000_i0" Type="Embed"/>
              </w:object>
            </w:r>
            <w:r/>
          </w:p>
        </w:tc>
        <w:tc>
          <w:tcPr>
            <w:tcW w:w="7821" w:type="dxa"/>
            <w:textDirection w:val="lrTb"/>
            <w:noWrap w:val="false"/>
          </w:tcPr>
          <w:p>
            <w:pPr>
              <w:ind w:firstLine="708"/>
              <w:tabs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</w:pPr>
            <w:r>
              <w:tab/>
            </w:r>
            <w:r>
              <w:tab/>
              <w:t xml:space="preserve">  </w: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15663</wp:posOffset>
                      </wp:positionV>
                      <wp:extent cx="403200" cy="367200"/>
                      <wp:effectExtent l="0" t="0" r="0" b="0"/>
                      <wp:wrapSquare wrapText="bothSides"/>
                      <wp:docPr id="2" name="image2.png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200" cy="367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3.5pt;mso-position-horizontal:absolute;mso-position-vertical-relative:text;margin-top:1.2pt;mso-position-vertical:absolute;width:31.7pt;height:28.9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Balthazar" w:hAnsi="Balthazar" w:cs="Balthazar" w:eastAsia="Balthazar"/>
                <w:b/>
                <w:sz w:val="28"/>
                <w:szCs w:val="28"/>
              </w:rPr>
            </w:pPr>
            <w:r>
              <w:rPr>
                <w:rFonts w:ascii="Balthazar" w:hAnsi="Balthazar" w:cs="Balthazar" w:eastAsia="Balthazar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“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E.FERMI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”</w:t>
            </w:r>
            <w:r/>
          </w:p>
          <w:p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Mazzini 172/2 – 40139 Bologna (BO</w:t>
            </w:r>
            <w:r/>
          </w:p>
          <w:p>
            <w:pPr>
              <w:ind w:left="12" w:right="10"/>
              <w:jc w:val="center"/>
              <w:spacing w:lineRule="exact" w: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051-4298511 - Codice Fiscale: 80074870371 – </w:t>
            </w:r>
            <w:r>
              <w:rPr>
                <w:sz w:val="22"/>
                <w:szCs w:val="22"/>
              </w:rPr>
              <w:t xml:space="preserve">C.U.U.</w:t>
            </w:r>
            <w:r>
              <w:rPr>
                <w:sz w:val="22"/>
                <w:szCs w:val="22"/>
              </w:rPr>
              <w:t xml:space="preserve"> UFEC0B</w:t>
            </w:r>
            <w:r/>
          </w:p>
          <w:p>
            <w:pPr>
              <w:jc w:val="center"/>
              <w:tabs>
                <w:tab w:val="center" w:pos="3150" w:leader="none"/>
              </w:tabs>
              <w:rPr>
                <w:rFonts w:ascii="Balthazar" w:hAnsi="Balthazar" w:cs="Balthazar" w:eastAsia="Balthazar"/>
                <w:b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b/>
                <w:sz w:val="16"/>
                <w:szCs w:val="16"/>
              </w:rPr>
            </w:r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12" w:tooltip="mailto:bops02000d@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bops02000d@istruzione.it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PEC: </w:t>
            </w:r>
            <w:hyperlink r:id="rId13" w:tooltip="mailto:bops02000d@pec.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bops02000d@pec.istruzione.it</w:t>
              </w:r>
            </w:hyperlink>
            <w:r/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4" w:tooltip="http://www.liceofermibo.edu.it/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www.liceofermibo.edu.it</w:t>
              </w:r>
            </w:hyperlink>
            <w:r/>
            <w:r/>
          </w:p>
          <w:p>
            <w:pPr>
              <w:jc w:val="center"/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r>
            <w:r/>
          </w:p>
        </w:tc>
      </w:tr>
    </w:tbl>
    <w:p>
      <w:pPr>
        <w:pStyle w:val="710"/>
        <w:tabs>
          <w:tab w:val="clear" w:pos="4819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PROGRAMMA </w:t>
      </w:r>
      <w:r>
        <w:rPr>
          <w:rFonts w:ascii="Verdana" w:hAnsi="Verdana" w:cs="Calibri"/>
          <w:b/>
        </w:rPr>
        <w:t xml:space="preserve">DI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caps/>
        </w:rPr>
        <w:t xml:space="preserve">  </w:t>
      </w:r>
      <w:r>
        <w:rPr>
          <w:rFonts w:ascii="Verdana" w:hAnsi="Verdana" w:cs="Calibri"/>
          <w:b/>
          <w:caps/>
        </w:rPr>
        <w:t xml:space="preserve">LINGUA E CIVILTA’ LATINA    </w:t>
      </w:r>
      <w:r>
        <w:rPr>
          <w:rFonts w:ascii="Verdana" w:hAnsi="Verdana" w:cs="Calibri"/>
          <w:b/>
          <w:caps/>
        </w:rPr>
        <w:t xml:space="preserve">SVOLTO</w:t>
      </w:r>
      <w:r/>
    </w:p>
    <w:p>
      <w:pPr>
        <w:jc w:val="center"/>
        <w:spacing w:after="120" w:before="120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CLASSE </w:t>
      </w:r>
      <w:r>
        <w:rPr>
          <w:rFonts w:ascii="Verdana" w:hAnsi="Verdana" w:cs="Calibri"/>
          <w:b/>
        </w:rPr>
        <w:t xml:space="preserve">1   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SEZ</w:t>
      </w:r>
      <w:r>
        <w:rPr>
          <w:rFonts w:ascii="Verdana" w:hAnsi="Verdana" w:cs="Calibri"/>
          <w:b/>
        </w:rPr>
        <w:t xml:space="preserve">.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F  a. s.   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2/20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3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sz w:val="24"/>
        </w:rPr>
      </w:pPr>
      <w:r>
        <w:rPr>
          <w:rFonts w:ascii="Verdana" w:hAnsi="Verdana" w:cs="Calibri"/>
          <w:b/>
        </w:rPr>
        <w:t xml:space="preserve">DOCENTE: </w:t>
      </w:r>
      <w:r>
        <w:t xml:space="preserve">PROF.SSA RITA UNCINI MANGANELLI   </w:t>
      </w:r>
      <w:r>
        <w:rPr>
          <w:rFonts w:ascii="Verdana" w:hAnsi="Verdana" w:cs="Calibri"/>
          <w:b/>
        </w:rPr>
        <w:t xml:space="preserve">Libro di testo: </w:t>
      </w:r>
      <w:r>
        <w:rPr>
          <w:rFonts w:ascii="Verdana" w:hAnsi="Verdana" w:cs="Calibri"/>
          <w:b/>
          <w:sz w:val="24"/>
        </w:rPr>
        <w:t xml:space="preserve"> </w:t>
      </w:r>
      <w:r>
        <w:rPr>
          <w:rFonts w:ascii="Verdana" w:hAnsi="Verdana" w:cs="Calibri"/>
          <w:sz w:val="24"/>
          <w:szCs w:val="16"/>
        </w:rPr>
        <w:t xml:space="preserve">Manzoni-Filippini-Sgarzi Verba Nostra vol.1. Zanichelli</w:t>
      </w:r>
      <w:r>
        <w:rPr>
          <w:sz w:val="24"/>
        </w:rPr>
      </w:r>
      <w:r/>
    </w:p>
    <w:tbl>
      <w:tblPr>
        <w:tblW w:w="10260" w:type="dxa"/>
        <w:tblInd w:w="-101" w:type="dxa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2" w:space="0" w:color="auto"/>
          <w:insideH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1- Nucleo fondante: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Segni e suoni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 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L’alfabeto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Leggere il latino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Vocali, dittonghi, sillabe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La posizione dell’accento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Il verbo italiano e latino a confronto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L’infinito e l’indicativo presente attivo delle quattro coniugazioni e della coniugazione mista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i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L’indicativo e l’infinito presente di </w:t>
            </w:r>
            <w:r>
              <w:rPr>
                <w:rFonts w:ascii="Verdana" w:hAnsi="Verdana" w:cs="Calibri"/>
                <w:b w:val="false"/>
                <w:i/>
                <w:sz w:val="20"/>
                <w:szCs w:val="20"/>
                <w:highlight w:val="none"/>
              </w:rPr>
              <w:t xml:space="preserve">sum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 e </w:t>
            </w:r>
            <w:r>
              <w:rPr>
                <w:rFonts w:ascii="Verdana" w:hAnsi="Verdana" w:cs="Calibri"/>
                <w:b w:val="false"/>
                <w:i/>
                <w:sz w:val="20"/>
                <w:szCs w:val="20"/>
                <w:highlight w:val="none"/>
              </w:rPr>
              <w:t xml:space="preserve">possum</w:t>
            </w:r>
            <w:r>
              <w:rPr>
                <w:rFonts w:ascii="Verdana" w:hAnsi="Verdana" w:cs="Calibri"/>
                <w:b w:val="false"/>
                <w:i w:val="false"/>
                <w:sz w:val="20"/>
                <w:szCs w:val="20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i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i/>
                <w:sz w:val="20"/>
                <w:szCs w:val="20"/>
                <w:highlight w:val="none"/>
              </w:rPr>
            </w:r>
            <w:r>
              <w:rPr>
                <w:rFonts w:ascii="Verdana" w:hAnsi="Verdana" w:cs="Calibri"/>
                <w:b w:val="false"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6</w:t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2- Nucleo fondante:Il nome: italiano e latino a confronto</w:t>
            </w:r>
            <w:r/>
          </w:p>
        </w:tc>
      </w:tr>
      <w:tr>
        <w:trPr>
          <w:cantSplit/>
          <w:trHeight w:val="3813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Tema e terminazione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Il caso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La declinazione e il tema nominale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Genere e numero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La prima declinazione 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La frase minima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Sostantivi e aggettivi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Gli aggettivi della prima classe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le congiunzioni coordinanti copulative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Verbi ed aggettivi che richiedono il dativo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Funzioni dell’ablativo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Congiunzioni coordinanti dichiarative e avversative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r>
              <w:t xml:space="preserve">     18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3- Nucleo fondante: l’infinito e l’indicativo presente passivo delle quattro </w:t>
            </w:r>
            <w:r/>
          </w:p>
          <w:p>
            <w:pP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highlight w:val="none"/>
              </w:rPr>
              <w:t xml:space="preserve">coniugazioni e della mista.</w:t>
            </w:r>
            <w:r>
              <w:rPr>
                <w:rFonts w:ascii="Verdana" w:hAnsi="Verdana" w:cs="Calibri"/>
                <w:b/>
                <w:sz w:val="20"/>
                <w:highlight w:val="none"/>
              </w:rPr>
            </w:r>
            <w:r/>
          </w:p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highlight w:val="none"/>
              </w:rPr>
            </w:r>
            <w:r>
              <w:rPr>
                <w:rFonts w:ascii="Verdana" w:hAnsi="Verdana" w:cs="Calibri"/>
                <w:b/>
                <w:sz w:val="20"/>
                <w:highlight w:val="none"/>
              </w:rPr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Frase attiva e passiva</w:t>
            </w:r>
            <w:r>
              <w:rPr>
                <w:b w:val="fals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</w:r>
            <w:r>
              <w:rPr>
                <w:b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 pronomi personali</w:t>
            </w:r>
            <w:r>
              <w:rPr>
                <w:b w:val="fals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Avverbi di tempo</w:t>
            </w:r>
            <w:r>
              <w:rPr>
                <w:b w:val="fals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Le congiunzioni subordinanti temporali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   16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4- Nucleo fondante:La seconda declinazione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Sostantivi e particolarità</w:t>
            </w:r>
            <w:r>
              <w:rPr>
                <w:b w:val="fals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Aggettivi maschili in us ed er</w:t>
            </w:r>
            <w:r>
              <w:rPr>
                <w:b w:val="fals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4</w:t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 complementi di luogo e le loro particolarità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Indicativo imperfetto attivo e passivo</w:t>
            </w:r>
            <w:r>
              <w:rPr>
                <w:rFonts w:ascii="Verdana" w:hAnsi="Verdana" w:cs="Calibri"/>
                <w:b w:val="false"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 verbi irregolari volo, nolo e malo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5- Nucleo fondante: Aggettivi e pronomi possessivi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Il dativo di possesso</w:t>
            </w:r>
            <w:r>
              <w:rPr>
                <w:b w:val="fals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1</w:t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60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6- Nucleo fondante: L’imperativo presente e futuro, attivo e passivo</w:t>
            </w:r>
            <w:r/>
          </w:p>
        </w:tc>
      </w:tr>
      <w:tr>
        <w:trPr>
          <w:cantSplit/>
          <w:trHeight w:val="567"/>
        </w:trPr>
        <w:tc>
          <w:tcPr>
            <w:tcW w:w="8460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 complementi: causa, tempo, qualità, agente, causa efficiente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3</w:t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7. Nucleo fondante: la terza declinazione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Particolarità della terza declinazione</w:t>
            </w:r>
            <w:r>
              <w:rPr>
                <w:b w:val="fals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Gli aggettivi della seconda classe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8-Nucleo fondante: indicativo  futuro semplice attivo e passivo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Ablativo ed accusativo nelle determinazioni di tempo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La proposizione temporale introdotta da dum e cum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8-Nucleo fondante: l’indicativo perfetto attivo e passivo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9- Nucleo fondante : la quarta declinazione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10- Nucleo fondante: i predicativi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11- Nucleo fondante La quinta declinazione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Le particolarità.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I pronomi: is-ille-iste-hic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12-Nucleo fondante: il pronome relativo e la proposizione relativa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13. Nucleo fondante: indicativo piuccheperfetto attivo e passivo e futuro anteriore attivo e passivo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14. Nucleo fondante: legge dell’anteriorità e consecutio temporum</w:t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  <w:t xml:space="preserve">I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 verbo sum e i suoi composti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  <w:t xml:space="preserve">Le funzioni del dativo.</w:t>
            </w:r>
            <w:r>
              <w:rPr>
                <w:rFonts w:ascii="Verdana" w:hAnsi="Verdana" w:cs="Calibri"/>
                <w:b w:val="false"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>
              <w:rPr>
                <w:rFonts w:ascii="Verdana" w:hAnsi="Verdana" w:cs="Calibri"/>
                <w:b/>
                <w:sz w:val="20"/>
                <w:szCs w:val="20"/>
                <w:highlight w:val="none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11</w:t>
            </w:r>
            <w:r/>
          </w:p>
        </w:tc>
      </w:tr>
      <w:tr>
        <w:trPr>
          <w:cantSplit/>
          <w:trHeight w:val="175"/>
        </w:trPr>
        <w:tc>
          <w:tcPr>
            <w:tcW w:w="8460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</w:tbl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28"/>
          <w:szCs w:val="28"/>
        </w:rPr>
        <w:t xml:space="preserve">*</w:t>
      </w:r>
      <w:r>
        <w:rPr>
          <w:rFonts w:ascii="Verdana" w:hAnsi="Verdana" w:cs="Calibri"/>
          <w:b/>
        </w:rPr>
        <w:t xml:space="preserve">comprensive</w:t>
      </w:r>
      <w:r>
        <w:rPr>
          <w:rFonts w:ascii="Verdana" w:hAnsi="Verdana" w:cs="Calibri"/>
          <w:b/>
        </w:rPr>
        <w:t xml:space="preserve"> delle ore di esercitazione, laboratorio e verifiche</w:t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  <w:highlight w:val="none"/>
        </w:rPr>
      </w:pPr>
      <w:r>
        <w:rPr>
          <w:rFonts w:ascii="Verdana" w:hAnsi="Verdana" w:cs="Calibri"/>
          <w:b/>
        </w:rPr>
        <w:t xml:space="preserve">Bologna, li </w:t>
      </w:r>
      <w:r>
        <w:rPr>
          <w:rFonts w:ascii="Verdana" w:hAnsi="Verdana" w:cs="Calibri"/>
          <w:b/>
        </w:rPr>
        <w:t xml:space="preserve">4/06/2023</w:t>
        <w:tab/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  <w:highlight w:val="none"/>
        </w:rPr>
      </w:r>
      <w:r>
        <w:rPr>
          <w:rFonts w:ascii="Verdana" w:hAnsi="Verdana" w:cs="Calibri"/>
          <w:b/>
          <w:highlight w:val="none"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>
        <w:rPr>
          <w:rFonts w:ascii="Verdana" w:hAnsi="Verdana" w:cs="Calibri"/>
          <w:b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L’INSEGNANTE   </w:t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  <w:highlight w:val="none"/>
        </w:rPr>
      </w:pPr>
      <w:r>
        <w:rPr>
          <w:rFonts w:ascii="Verdana" w:hAnsi="Verdana" w:cs="Calibri"/>
          <w:b/>
        </w:rPr>
        <w:t xml:space="preserve">Rita Uncini Manganelli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balthazar">
    <w:panose1 w:val="02000603000000000000"/>
  </w:font>
  <w:font w:name="eb garamond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ps">
    <w:panose1 w:val="02000603000000000000"/>
  </w:font>
  <w:font w:name="Tahoma">
    <w:panose1 w:val="020B0606040504020204"/>
  </w:font>
  <w:font w:name="Times">
    <w:panose1 w:val="02020603050405020304"/>
  </w:font>
  <w:font w:name="Courier New">
    <w:panose1 w:val="02070409020205020404"/>
  </w:font>
  <w:font w:name="new york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" w:firstLine="0"/>
        <w:tabs>
          <w:tab w:val="num" w:pos="420" w:leader="none"/>
        </w:tabs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9" w:hanging="360"/>
        <w:tabs>
          <w:tab w:val="num" w:pos="78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9" w:hanging="360"/>
        <w:tabs>
          <w:tab w:val="num" w:pos="150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9" w:hanging="360"/>
        <w:tabs>
          <w:tab w:val="num" w:pos="222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9" w:hanging="360"/>
        <w:tabs>
          <w:tab w:val="num" w:pos="294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9" w:hanging="360"/>
        <w:tabs>
          <w:tab w:val="num" w:pos="366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9" w:hanging="360"/>
        <w:tabs>
          <w:tab w:val="num" w:pos="438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9" w:hanging="360"/>
        <w:tabs>
          <w:tab w:val="num" w:pos="510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9" w:hanging="360"/>
        <w:tabs>
          <w:tab w:val="num" w:pos="582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9" w:hanging="360"/>
        <w:tabs>
          <w:tab w:val="num" w:pos="6549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  <w:tabs>
          <w:tab w:val="num" w:pos="3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  <w:tabs>
          <w:tab w:val="num" w:pos="11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  <w:tabs>
          <w:tab w:val="num" w:pos="18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  <w:tabs>
          <w:tab w:val="num" w:pos="25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  <w:tabs>
          <w:tab w:val="num" w:pos="32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  <w:tabs>
          <w:tab w:val="num" w:pos="39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  <w:tabs>
          <w:tab w:val="num" w:pos="47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  <w:tabs>
          <w:tab w:val="num" w:pos="54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  <w:tabs>
          <w:tab w:val="num" w:pos="6154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31">
    <w:name w:val="Heading 1 Char"/>
    <w:basedOn w:val="703"/>
    <w:link w:val="694"/>
    <w:uiPriority w:val="9"/>
    <w:rPr>
      <w:rFonts w:ascii="Arial" w:hAnsi="Arial" w:cs="Arial" w:eastAsia="Arial"/>
      <w:sz w:val="40"/>
      <w:szCs w:val="40"/>
    </w:rPr>
  </w:style>
  <w:style w:type="character" w:styleId="532">
    <w:name w:val="Heading 2 Char"/>
    <w:basedOn w:val="703"/>
    <w:link w:val="695"/>
    <w:uiPriority w:val="9"/>
    <w:rPr>
      <w:rFonts w:ascii="Arial" w:hAnsi="Arial" w:cs="Arial" w:eastAsia="Arial"/>
      <w:sz w:val="34"/>
    </w:rPr>
  </w:style>
  <w:style w:type="character" w:styleId="533">
    <w:name w:val="Heading 3 Char"/>
    <w:basedOn w:val="703"/>
    <w:link w:val="696"/>
    <w:uiPriority w:val="9"/>
    <w:rPr>
      <w:rFonts w:ascii="Arial" w:hAnsi="Arial" w:cs="Arial" w:eastAsia="Arial"/>
      <w:sz w:val="30"/>
      <w:szCs w:val="30"/>
    </w:rPr>
  </w:style>
  <w:style w:type="character" w:styleId="534">
    <w:name w:val="Heading 4 Char"/>
    <w:basedOn w:val="703"/>
    <w:link w:val="697"/>
    <w:uiPriority w:val="9"/>
    <w:rPr>
      <w:rFonts w:ascii="Arial" w:hAnsi="Arial" w:cs="Arial" w:eastAsia="Arial"/>
      <w:b/>
      <w:bCs/>
      <w:sz w:val="26"/>
      <w:szCs w:val="26"/>
    </w:rPr>
  </w:style>
  <w:style w:type="character" w:styleId="535">
    <w:name w:val="Heading 5 Char"/>
    <w:basedOn w:val="703"/>
    <w:link w:val="698"/>
    <w:uiPriority w:val="9"/>
    <w:rPr>
      <w:rFonts w:ascii="Arial" w:hAnsi="Arial" w:cs="Arial" w:eastAsia="Arial"/>
      <w:b/>
      <w:bCs/>
      <w:sz w:val="24"/>
      <w:szCs w:val="24"/>
    </w:rPr>
  </w:style>
  <w:style w:type="character" w:styleId="536">
    <w:name w:val="Heading 6 Char"/>
    <w:basedOn w:val="703"/>
    <w:link w:val="699"/>
    <w:uiPriority w:val="9"/>
    <w:rPr>
      <w:rFonts w:ascii="Arial" w:hAnsi="Arial" w:cs="Arial" w:eastAsia="Arial"/>
      <w:b/>
      <w:bCs/>
      <w:sz w:val="22"/>
      <w:szCs w:val="22"/>
    </w:rPr>
  </w:style>
  <w:style w:type="character" w:styleId="537">
    <w:name w:val="Heading 7 Char"/>
    <w:basedOn w:val="703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8">
    <w:name w:val="Heading 8 Char"/>
    <w:basedOn w:val="703"/>
    <w:link w:val="701"/>
    <w:uiPriority w:val="9"/>
    <w:rPr>
      <w:rFonts w:ascii="Arial" w:hAnsi="Arial" w:cs="Arial" w:eastAsia="Arial"/>
      <w:i/>
      <w:iCs/>
      <w:sz w:val="22"/>
      <w:szCs w:val="22"/>
    </w:rPr>
  </w:style>
  <w:style w:type="character" w:styleId="539">
    <w:name w:val="Heading 9 Char"/>
    <w:basedOn w:val="703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540">
    <w:name w:val="No Spacing"/>
    <w:qFormat/>
    <w:uiPriority w:val="1"/>
    <w:pPr>
      <w:spacing w:lineRule="auto" w:line="240" w:after="0" w:before="0"/>
    </w:pPr>
  </w:style>
  <w:style w:type="paragraph" w:styleId="541">
    <w:name w:val="Title"/>
    <w:basedOn w:val="693"/>
    <w:next w:val="693"/>
    <w:link w:val="54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42">
    <w:name w:val="Title Char"/>
    <w:basedOn w:val="703"/>
    <w:link w:val="541"/>
    <w:uiPriority w:val="10"/>
    <w:rPr>
      <w:sz w:val="48"/>
      <w:szCs w:val="48"/>
    </w:rPr>
  </w:style>
  <w:style w:type="paragraph" w:styleId="543">
    <w:name w:val="Subtitle"/>
    <w:basedOn w:val="693"/>
    <w:next w:val="693"/>
    <w:link w:val="544"/>
    <w:qFormat/>
    <w:uiPriority w:val="11"/>
    <w:rPr>
      <w:sz w:val="24"/>
      <w:szCs w:val="24"/>
    </w:rPr>
    <w:pPr>
      <w:spacing w:after="200" w:before="200"/>
    </w:pPr>
  </w:style>
  <w:style w:type="character" w:styleId="544">
    <w:name w:val="Subtitle Char"/>
    <w:basedOn w:val="703"/>
    <w:link w:val="543"/>
    <w:uiPriority w:val="11"/>
    <w:rPr>
      <w:sz w:val="24"/>
      <w:szCs w:val="24"/>
    </w:rPr>
  </w:style>
  <w:style w:type="paragraph" w:styleId="545">
    <w:name w:val="Quote"/>
    <w:basedOn w:val="693"/>
    <w:next w:val="693"/>
    <w:link w:val="546"/>
    <w:qFormat/>
    <w:uiPriority w:val="29"/>
    <w:rPr>
      <w:i/>
    </w:rPr>
    <w:pPr>
      <w:ind w:left="720" w:right="720"/>
    </w:pPr>
  </w:style>
  <w:style w:type="character" w:styleId="546">
    <w:name w:val="Quote Char"/>
    <w:link w:val="545"/>
    <w:uiPriority w:val="29"/>
    <w:rPr>
      <w:i/>
    </w:rPr>
  </w:style>
  <w:style w:type="paragraph" w:styleId="547">
    <w:name w:val="Intense Quote"/>
    <w:basedOn w:val="693"/>
    <w:next w:val="693"/>
    <w:link w:val="54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8">
    <w:name w:val="Intense Quote Char"/>
    <w:link w:val="547"/>
    <w:uiPriority w:val="30"/>
    <w:rPr>
      <w:i/>
    </w:rPr>
  </w:style>
  <w:style w:type="character" w:styleId="549">
    <w:name w:val="Header Char"/>
    <w:basedOn w:val="703"/>
    <w:link w:val="723"/>
    <w:uiPriority w:val="99"/>
  </w:style>
  <w:style w:type="character" w:styleId="550">
    <w:name w:val="Footer Char"/>
    <w:basedOn w:val="703"/>
    <w:link w:val="710"/>
    <w:uiPriority w:val="99"/>
  </w:style>
  <w:style w:type="paragraph" w:styleId="551">
    <w:name w:val="Caption"/>
    <w:basedOn w:val="693"/>
    <w:next w:val="69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52">
    <w:name w:val="Caption Char"/>
    <w:basedOn w:val="551"/>
    <w:link w:val="710"/>
    <w:uiPriority w:val="99"/>
  </w:style>
  <w:style w:type="table" w:styleId="553">
    <w:name w:val="Table Grid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4">
    <w:name w:val="Table Grid Light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5">
    <w:name w:val="Plain Table 1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6">
    <w:name w:val="Plain Table 2"/>
    <w:basedOn w:val="7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7">
    <w:name w:val="Plain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8">
    <w:name w:val="Plain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Plain Table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0">
    <w:name w:val="Grid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Grid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Grid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Grid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Grid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Grid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Grid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Grid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2">
    <w:name w:val="Grid Table 4 - Accent 1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83">
    <w:name w:val="Grid Table 4 - Accent 2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84">
    <w:name w:val="Grid Table 4 - Accent 3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85">
    <w:name w:val="Grid Table 4 - Accent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86">
    <w:name w:val="Grid Table 4 - Accent 5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7">
    <w:name w:val="Grid Table 4 - Accent 6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8">
    <w:name w:val="Grid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89">
    <w:name w:val="Grid Table 5 Dark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90">
    <w:name w:val="Grid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91">
    <w:name w:val="Grid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92">
    <w:name w:val="Grid Table 5 Dark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93">
    <w:name w:val="Grid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94">
    <w:name w:val="Grid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95">
    <w:name w:val="Grid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96">
    <w:name w:val="Grid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97">
    <w:name w:val="Grid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98">
    <w:name w:val="Grid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9">
    <w:name w:val="Grid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00">
    <w:name w:val="Grid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1">
    <w:name w:val="Grid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2">
    <w:name w:val="Grid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List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List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List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List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List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List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17">
    <w:name w:val="List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18">
    <w:name w:val="List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9">
    <w:name w:val="List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20">
    <w:name w:val="List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21">
    <w:name w:val="List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22">
    <w:name w:val="List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23">
    <w:name w:val="List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4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4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>
    <w:name w:val="List Table 4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4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4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4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List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8">
    <w:name w:val="List Table 5 Dark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9">
    <w:name w:val="List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0">
    <w:name w:val="List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1">
    <w:name w:val="List Table 5 Dark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2">
    <w:name w:val="List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3">
    <w:name w:val="List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4">
    <w:name w:val="List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45">
    <w:name w:val="List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46">
    <w:name w:val="List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47">
    <w:name w:val="List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48">
    <w:name w:val="List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9">
    <w:name w:val="List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50">
    <w:name w:val="List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51">
    <w:name w:val="List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52">
    <w:name w:val="List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53">
    <w:name w:val="List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54">
    <w:name w:val="List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55">
    <w:name w:val="List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56">
    <w:name w:val="List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57">
    <w:name w:val="List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58">
    <w:name w:val="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59">
    <w:name w:val="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0">
    <w:name w:val="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1">
    <w:name w:val="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2">
    <w:name w:val="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3">
    <w:name w:val="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64">
    <w:name w:val="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65">
    <w:name w:val="Bordered &amp; 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66">
    <w:name w:val="Bordered &amp; 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7">
    <w:name w:val="Bordered &amp; 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8">
    <w:name w:val="Bordered &amp; 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9">
    <w:name w:val="Bordered &amp; 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0">
    <w:name w:val="Bordered &amp; 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1">
    <w:name w:val="Bordered &amp; 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72">
    <w:name w:val="Bordered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73">
    <w:name w:val="Bordered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74">
    <w:name w:val="Bordered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75">
    <w:name w:val="Bordered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76">
    <w:name w:val="Bordered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77">
    <w:name w:val="Bordered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78">
    <w:name w:val="Bordered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79">
    <w:name w:val="Footnote Text Char"/>
    <w:link w:val="727"/>
    <w:uiPriority w:val="99"/>
    <w:rPr>
      <w:sz w:val="18"/>
    </w:rPr>
  </w:style>
  <w:style w:type="character" w:styleId="680">
    <w:name w:val="footnote reference"/>
    <w:basedOn w:val="703"/>
    <w:uiPriority w:val="99"/>
    <w:unhideWhenUsed/>
    <w:rPr>
      <w:vertAlign w:val="superscript"/>
    </w:rPr>
  </w:style>
  <w:style w:type="character" w:styleId="681">
    <w:name w:val="Endnote Text Char"/>
    <w:link w:val="725"/>
    <w:uiPriority w:val="99"/>
    <w:rPr>
      <w:sz w:val="20"/>
    </w:rPr>
  </w:style>
  <w:style w:type="character" w:styleId="682">
    <w:name w:val="endnote reference"/>
    <w:basedOn w:val="703"/>
    <w:uiPriority w:val="99"/>
    <w:semiHidden/>
    <w:unhideWhenUsed/>
    <w:rPr>
      <w:vertAlign w:val="superscript"/>
    </w:rPr>
  </w:style>
  <w:style w:type="paragraph" w:styleId="683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684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685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686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687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688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689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690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691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692">
    <w:name w:val="TOC Heading"/>
    <w:uiPriority w:val="39"/>
    <w:unhideWhenUsed/>
  </w:style>
  <w:style w:type="paragraph" w:styleId="693" w:default="1">
    <w:name w:val="Normal"/>
    <w:qFormat/>
    <w:rPr>
      <w:sz w:val="24"/>
      <w:szCs w:val="24"/>
    </w:rPr>
  </w:style>
  <w:style w:type="paragraph" w:styleId="694">
    <w:name w:val="Heading 1"/>
    <w:basedOn w:val="693"/>
    <w:next w:val="693"/>
    <w:qFormat/>
    <w:rPr>
      <w:sz w:val="28"/>
      <w:szCs w:val="20"/>
    </w:rPr>
    <w:pPr>
      <w:ind w:right="13"/>
      <w:jc w:val="center"/>
      <w:keepNext/>
      <w:outlineLvl w:val="0"/>
    </w:pPr>
  </w:style>
  <w:style w:type="paragraph" w:styleId="695">
    <w:name w:val="Heading 2"/>
    <w:basedOn w:val="693"/>
    <w:next w:val="693"/>
    <w:qFormat/>
    <w:rPr>
      <w:sz w:val="36"/>
      <w:szCs w:val="20"/>
    </w:rPr>
    <w:pPr>
      <w:ind w:right="13"/>
      <w:jc w:val="center"/>
      <w:keepNext/>
      <w:outlineLvl w:val="1"/>
    </w:pPr>
  </w:style>
  <w:style w:type="paragraph" w:styleId="696">
    <w:name w:val="Heading 3"/>
    <w:basedOn w:val="693"/>
    <w:next w:val="693"/>
    <w:qFormat/>
    <w:rPr>
      <w:rFonts w:ascii="Arial" w:hAnsi="Arial" w:cs="Arial"/>
      <w:b/>
      <w:bCs/>
      <w:sz w:val="20"/>
    </w:rPr>
    <w:pPr>
      <w:ind w:right="13"/>
      <w:jc w:val="center"/>
      <w:keepNext/>
      <w:outlineLvl w:val="2"/>
    </w:pPr>
  </w:style>
  <w:style w:type="paragraph" w:styleId="697">
    <w:name w:val="Heading 4"/>
    <w:basedOn w:val="693"/>
    <w:next w:val="693"/>
    <w:qFormat/>
    <w:rPr>
      <w:b/>
      <w:sz w:val="28"/>
      <w:szCs w:val="20"/>
    </w:rPr>
    <w:pPr>
      <w:ind w:right="13"/>
      <w:jc w:val="center"/>
      <w:keepNext/>
      <w:outlineLvl w:val="3"/>
    </w:pPr>
  </w:style>
  <w:style w:type="paragraph" w:styleId="698">
    <w:name w:val="Heading 5"/>
    <w:basedOn w:val="693"/>
    <w:next w:val="693"/>
    <w:qFormat/>
    <w:rPr>
      <w:rFonts w:ascii="New York" w:hAnsi="New York"/>
      <w:sz w:val="28"/>
      <w:szCs w:val="20"/>
    </w:rPr>
    <w:pPr>
      <w:ind w:left="520" w:hanging="520"/>
      <w:keepNext/>
      <w:outlineLvl w:val="4"/>
    </w:pPr>
  </w:style>
  <w:style w:type="paragraph" w:styleId="699">
    <w:name w:val="Heading 6"/>
    <w:basedOn w:val="693"/>
    <w:next w:val="693"/>
    <w:qFormat/>
    <w:rPr>
      <w:rFonts w:ascii="New York" w:hAnsi="New York"/>
      <w:sz w:val="28"/>
      <w:szCs w:val="20"/>
    </w:rPr>
    <w:pPr>
      <w:keepNext/>
      <w:outlineLvl w:val="5"/>
    </w:pPr>
  </w:style>
  <w:style w:type="paragraph" w:styleId="700">
    <w:name w:val="Heading 7"/>
    <w:basedOn w:val="693"/>
    <w:next w:val="693"/>
    <w:qFormat/>
    <w:rPr>
      <w:rFonts w:ascii="Arial" w:hAnsi="Arial" w:cs="Arial"/>
      <w:b/>
      <w:bCs/>
    </w:rPr>
    <w:pPr>
      <w:ind w:right="13"/>
      <w:jc w:val="center"/>
      <w:keepNext/>
      <w:outlineLvl w:val="6"/>
    </w:pPr>
  </w:style>
  <w:style w:type="paragraph" w:styleId="701">
    <w:name w:val="Heading 8"/>
    <w:basedOn w:val="693"/>
    <w:next w:val="693"/>
    <w:qFormat/>
    <w:rPr>
      <w:rFonts w:ascii="Arial" w:hAnsi="Arial"/>
      <w:b/>
      <w:sz w:val="32"/>
    </w:rPr>
    <w:pPr>
      <w:ind w:right="13"/>
      <w:jc w:val="center"/>
      <w:keepNext/>
      <w:outlineLvl w:val="7"/>
    </w:pPr>
  </w:style>
  <w:style w:type="paragraph" w:styleId="702">
    <w:name w:val="Heading 9"/>
    <w:basedOn w:val="693"/>
    <w:next w:val="693"/>
    <w:qFormat/>
    <w:rPr>
      <w:rFonts w:ascii="Arial" w:hAnsi="Arial"/>
      <w:b/>
      <w:sz w:val="20"/>
    </w:rPr>
    <w:pPr>
      <w:ind w:right="11"/>
      <w:jc w:val="center"/>
      <w:keepNext/>
      <w:outlineLvl w:val="8"/>
    </w:p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>
    <w:name w:val="Body Text"/>
    <w:basedOn w:val="693"/>
    <w:rPr>
      <w:bCs/>
      <w:sz w:val="28"/>
      <w:szCs w:val="20"/>
    </w:rPr>
    <w:pPr>
      <w:ind w:right="13"/>
      <w:jc w:val="center"/>
    </w:pPr>
  </w:style>
  <w:style w:type="paragraph" w:styleId="707" w:customStyle="1">
    <w:name w:val="Rientro zero"/>
    <w:basedOn w:val="708"/>
    <w:pPr>
      <w:ind w:firstLine="0"/>
      <w:tabs>
        <w:tab w:val="clear" w:pos="1700" w:leader="none"/>
      </w:tabs>
    </w:pPr>
  </w:style>
  <w:style w:type="paragraph" w:styleId="708" w:customStyle="1">
    <w:name w:val="Testo"/>
    <w:basedOn w:val="693"/>
    <w:rPr>
      <w:rFonts w:ascii="Times" w:hAnsi="Times"/>
      <w:sz w:val="20"/>
      <w:szCs w:val="20"/>
    </w:rPr>
    <w:pPr>
      <w:ind w:firstLine="289"/>
      <w:jc w:val="both"/>
      <w:tabs>
        <w:tab w:val="left" w:pos="1700" w:leader="none"/>
      </w:tabs>
    </w:pPr>
  </w:style>
  <w:style w:type="paragraph" w:styleId="709" w:customStyle="1">
    <w:name w:val="Body Text 21"/>
    <w:basedOn w:val="693"/>
    <w:rPr>
      <w:sz w:val="20"/>
      <w:szCs w:val="20"/>
    </w:rPr>
    <w:pPr>
      <w:jc w:val="both"/>
      <w:spacing w:before="120"/>
      <w:widowControl w:val="off"/>
      <w:pBdr>
        <w:bottom w:val="single" w:sz="6" w:space="1" w:color="auto"/>
      </w:pBdr>
    </w:pPr>
  </w:style>
  <w:style w:type="paragraph" w:styleId="710">
    <w:name w:val="Footer"/>
    <w:basedOn w:val="693"/>
    <w:rPr>
      <w:rFonts w:ascii="New York" w:hAnsi="New York"/>
      <w:sz w:val="20"/>
      <w:szCs w:val="20"/>
    </w:rPr>
    <w:pPr>
      <w:tabs>
        <w:tab w:val="center" w:pos="4819" w:leader="none"/>
        <w:tab w:val="right" w:pos="9071" w:leader="none"/>
      </w:tabs>
    </w:pPr>
  </w:style>
  <w:style w:type="paragraph" w:styleId="711">
    <w:name w:val="Plain Text"/>
    <w:basedOn w:val="693"/>
    <w:rPr>
      <w:rFonts w:ascii="Courier New" w:hAnsi="Courier New"/>
      <w:sz w:val="20"/>
      <w:szCs w:val="20"/>
    </w:rPr>
  </w:style>
  <w:style w:type="paragraph" w:styleId="712">
    <w:name w:val="Body Text 3"/>
    <w:basedOn w:val="693"/>
    <w:rPr>
      <w:b/>
      <w:sz w:val="20"/>
      <w:szCs w:val="20"/>
    </w:rPr>
    <w:pPr>
      <w:jc w:val="both"/>
    </w:pPr>
  </w:style>
  <w:style w:type="paragraph" w:styleId="713">
    <w:name w:val="Body Text Indent"/>
    <w:basedOn w:val="693"/>
    <w:rPr>
      <w:sz w:val="20"/>
      <w:szCs w:val="20"/>
    </w:rPr>
    <w:pPr>
      <w:ind w:firstLine="284"/>
      <w:jc w:val="both"/>
    </w:pPr>
  </w:style>
  <w:style w:type="paragraph" w:styleId="714" w:customStyle="1">
    <w:name w:val="Titoli 1"/>
    <w:basedOn w:val="693"/>
    <w:next w:val="693"/>
    <w:rPr>
      <w:rFonts w:ascii="Times" w:hAnsi="Times"/>
      <w:b/>
      <w:sz w:val="20"/>
      <w:szCs w:val="20"/>
    </w:rPr>
    <w:pPr>
      <w:jc w:val="center"/>
      <w:spacing w:after="240"/>
      <w:tabs>
        <w:tab w:val="left" w:pos="1700" w:leader="none"/>
      </w:tabs>
    </w:pPr>
  </w:style>
  <w:style w:type="paragraph" w:styleId="715">
    <w:name w:val="Body Text Indent 2"/>
    <w:basedOn w:val="693"/>
    <w:rPr>
      <w:i/>
      <w:iCs/>
      <w:sz w:val="20"/>
      <w:szCs w:val="20"/>
    </w:rPr>
    <w:pPr>
      <w:ind w:left="520" w:hanging="520"/>
    </w:pPr>
  </w:style>
  <w:style w:type="character" w:styleId="716">
    <w:name w:val="page number"/>
    <w:basedOn w:val="703"/>
  </w:style>
  <w:style w:type="paragraph" w:styleId="717" w:customStyle="1">
    <w:name w:val="WW-Rientro corpo del testo 2"/>
    <w:basedOn w:val="693"/>
    <w:rPr>
      <w:i/>
      <w:sz w:val="20"/>
      <w:szCs w:val="20"/>
    </w:rPr>
    <w:pPr>
      <w:ind w:left="520" w:hanging="520"/>
    </w:pPr>
  </w:style>
  <w:style w:type="paragraph" w:styleId="718">
    <w:name w:val="Body Text 2"/>
    <w:basedOn w:val="693"/>
    <w:pPr>
      <w:spacing w:lineRule="auto" w:line="480" w:after="120"/>
    </w:pPr>
  </w:style>
  <w:style w:type="character" w:styleId="719">
    <w:name w:val="Hyperlink"/>
    <w:basedOn w:val="703"/>
    <w:rPr>
      <w:color w:val="0000FF"/>
      <w:u w:val="single"/>
    </w:rPr>
  </w:style>
  <w:style w:type="character" w:styleId="720" w:customStyle="1">
    <w:name w:val="spelle"/>
    <w:basedOn w:val="703"/>
  </w:style>
  <w:style w:type="character" w:styleId="721" w:customStyle="1">
    <w:name w:val="grame"/>
    <w:basedOn w:val="703"/>
  </w:style>
  <w:style w:type="paragraph" w:styleId="722">
    <w:name w:val="Document Map"/>
    <w:basedOn w:val="693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paragraph" w:styleId="723">
    <w:name w:val="Header"/>
    <w:basedOn w:val="693"/>
    <w:pPr>
      <w:tabs>
        <w:tab w:val="center" w:pos="4819" w:leader="none"/>
        <w:tab w:val="right" w:pos="9638" w:leader="none"/>
      </w:tabs>
    </w:pPr>
  </w:style>
  <w:style w:type="paragraph" w:styleId="724" w:customStyle="1">
    <w:name w:val="Stile"/>
    <w:rPr>
      <w:sz w:val="24"/>
      <w:szCs w:val="24"/>
    </w:rPr>
    <w:pPr>
      <w:widowControl w:val="off"/>
    </w:pPr>
  </w:style>
  <w:style w:type="paragraph" w:styleId="725">
    <w:name w:val="endnote text"/>
    <w:basedOn w:val="693"/>
    <w:semiHidden/>
    <w:rPr>
      <w:rFonts w:ascii="Courier PS" w:hAnsi="Courier PS"/>
      <w:sz w:val="20"/>
      <w:szCs w:val="20"/>
    </w:rPr>
  </w:style>
  <w:style w:type="paragraph" w:styleId="726">
    <w:name w:val="Normal (Web)"/>
    <w:basedOn w:val="693"/>
    <w:pPr>
      <w:spacing w:after="100" w:afterAutospacing="1" w:before="100" w:beforeAutospacing="1"/>
    </w:pPr>
  </w:style>
  <w:style w:type="paragraph" w:styleId="727">
    <w:name w:val="footnote text"/>
    <w:basedOn w:val="693"/>
    <w:semiHidden/>
    <w:rPr>
      <w:sz w:val="20"/>
      <w:szCs w:val="20"/>
    </w:rPr>
  </w:style>
  <w:style w:type="character" w:styleId="728">
    <w:name w:val="Strong"/>
    <w:basedOn w:val="703"/>
    <w:qFormat/>
    <w:rPr>
      <w:b/>
      <w:bCs/>
    </w:rPr>
  </w:style>
  <w:style w:type="character" w:styleId="729" w:customStyle="1">
    <w:name w:val="ff2 fc3 fs10"/>
    <w:basedOn w:val="703"/>
  </w:style>
  <w:style w:type="paragraph" w:styleId="730" w:customStyle="1">
    <w:name w:val="image"/>
    <w:basedOn w:val="693"/>
    <w:pPr>
      <w:spacing w:after="100" w:afterAutospacing="1" w:before="100" w:beforeAutospacing="1"/>
    </w:pPr>
  </w:style>
  <w:style w:type="paragraph" w:styleId="731">
    <w:name w:val="Balloon Text"/>
    <w:basedOn w:val="693"/>
    <w:link w:val="732"/>
    <w:rPr>
      <w:rFonts w:ascii="Tahoma" w:hAnsi="Tahoma" w:cs="Tahoma"/>
      <w:sz w:val="16"/>
      <w:szCs w:val="16"/>
    </w:rPr>
  </w:style>
  <w:style w:type="character" w:styleId="732" w:customStyle="1">
    <w:name w:val="Testo fumetto Carattere"/>
    <w:basedOn w:val="703"/>
    <w:link w:val="731"/>
    <w:rPr>
      <w:rFonts w:ascii="Tahoma" w:hAnsi="Tahoma" w:cs="Tahoma"/>
      <w:sz w:val="16"/>
      <w:szCs w:val="16"/>
    </w:rPr>
  </w:style>
  <w:style w:type="paragraph" w:styleId="733">
    <w:name w:val="List Paragraph"/>
    <w:basedOn w:val="69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mailto:bops02000d@istruzione.it" TargetMode="External"/><Relationship Id="rId13" Type="http://schemas.openxmlformats.org/officeDocument/2006/relationships/hyperlink" Target="mailto:bops02000d@pec.istruzione.it" TargetMode="External"/><Relationship Id="rId14" Type="http://schemas.openxmlformats.org/officeDocument/2006/relationships/hyperlink" Target="http://www.liceofermibo.edu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revision>13</cp:revision>
  <dcterms:created xsi:type="dcterms:W3CDTF">2018-09-06T09:47:00Z</dcterms:created>
  <dcterms:modified xsi:type="dcterms:W3CDTF">2023-06-06T20:05:28Z</dcterms:modified>
</cp:coreProperties>
</file>