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4221694C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 xml:space="preserve">PROGRAMMA DI </w:t>
      </w:r>
      <w:r w:rsidRPr="4221694C" w:rsidR="4221694C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4221694C" w:rsidRDefault="002E4891" w14:paraId="330C8262" wp14:textId="57CCD4CF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58AA7A7F" w:rsidR="58AA7A7F">
        <w:rPr>
          <w:rFonts w:ascii="Verdana" w:hAnsi="Verdana" w:cs="Calibri" w:cstheme="minorAscii"/>
          <w:b w:val="1"/>
          <w:bCs w:val="1"/>
        </w:rPr>
        <w:t>CLASSE  4    SEZ.  T    a. s.   2021/2022</w:t>
      </w:r>
    </w:p>
    <w:p xmlns:wp14="http://schemas.microsoft.com/office/word/2010/wordml" w:rsidRPr="002178A3" w:rsidR="002178A3" w:rsidP="4221694C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58AA7A7F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58AA7A7F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4221694C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4221694C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58AA7A7F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2A3D3EC" wp14:textId="7B4C5D94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58AA7A7F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58AA7A7F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58AA7A7F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58AA7A7F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58AA7A7F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DDBEF00" wp14:textId="524706DF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58AA7A7F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58AA7A7F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58AA7A7F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58AA7A7F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58AA7A7F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58AA7A7F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58AA7A7F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58AA7A7F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58AA7A7F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3F981BA5" w:rsidRDefault="00B20600" w14:paraId="1D370252" wp14:textId="43A66BA6">
            <w:pPr>
              <w:pStyle w:val="Normale"/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</w:pPr>
            <w:r w:rsidRPr="3F981BA5" w:rsidR="3F981BA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3F981BA5" w:rsidR="3F981BA5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Tennis Tavolo (</w:t>
            </w:r>
            <w:proofErr w:type="spellStart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ping</w:t>
            </w:r>
            <w:proofErr w:type="spellEnd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pong</w:t>
            </w:r>
            <w:proofErr w:type="spellEnd"/>
            <w:r w:rsidRPr="3F981BA5" w:rsidR="3F981BA5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)</w:t>
            </w:r>
          </w:p>
        </w:tc>
      </w:tr>
      <w:tr xmlns:wp14="http://schemas.microsoft.com/office/word/2010/wordml" w:rsidRPr="002178A3" w:rsidR="00B20600" w:rsidTr="58AA7A7F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75FD690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58AA7A7F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63F29E8" wp14:textId="7DFE50A8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Partite 1&gt;1 e 2&gt;2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B7B4B86" wp14:textId="439B5F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58AA7A7F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3F981BA5" w:rsidRDefault="00B20600" w14:paraId="5630AD66" wp14:textId="63FCAE3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829076" wp14:textId="35E77C3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2178A3" w:rsidR="00B20600" w:rsidTr="58AA7A7F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250257E4" wp14:textId="64E68CE2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Difesa Personale</w:t>
            </w:r>
          </w:p>
        </w:tc>
      </w:tr>
      <w:tr xmlns:wp14="http://schemas.microsoft.com/office/word/2010/wordml" w:rsidRPr="002178A3" w:rsidR="00B20600" w:rsidTr="58AA7A7F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3F981BA5" w:rsidRDefault="00B20600" w14:paraId="642C593A" wp14:textId="30B8A0C0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 xml:space="preserve">Argomenti </w:t>
            </w: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>svolti in</w:t>
            </w:r>
            <w:r w:rsidRPr="3F981BA5" w:rsidR="3F981BA5">
              <w:rPr>
                <w:rFonts w:ascii="Verdana" w:hAnsi="Verdana" w:cs="Calibri" w:cstheme="minorAsci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58AA7A7F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3F981BA5" w:rsidRDefault="00B20600" w14:paraId="7194DBDC" wp14:textId="5491C41C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3F981BA5" w:rsidR="3F981BA5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Lezioni con istruttore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58AA7A7F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P="58AA7A7F" w:rsidRDefault="002178A3" w14:paraId="42C6D796" wp14:textId="0D0B5A77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="00E63EF8" w:rsidP="58AA7A7F" w:rsidRDefault="00B20600" w14:paraId="54A14B56" wp14:textId="0946C144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58AA7A7F" w:rsidR="58AA7A7F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58AA7A7F" w:rsidR="58AA7A7F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58AA7A7F" w:rsidRDefault="00E63EF8" w14:paraId="62566457" wp14:textId="638AA7EB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58AA7A7F" w:rsidR="00B20600">
        <w:rPr>
          <w:rFonts w:ascii="Verdana" w:hAnsi="Verdana" w:cs="Calibri" w:cstheme="minorAscii"/>
          <w:b w:val="1"/>
          <w:bCs w:val="1"/>
        </w:rPr>
        <w:t>Erman</w:t>
      </w:r>
      <w:r w:rsidRPr="58AA7A7F" w:rsidR="00B20600">
        <w:rPr>
          <w:rFonts w:ascii="Verdana" w:hAnsi="Verdana" w:cs="Calibri" w:cstheme="minorAscii"/>
          <w:b w:val="1"/>
          <w:bCs w:val="1"/>
        </w:rPr>
        <w:t xml:space="preserve">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3F981BA5"/>
    <w:rsid w:val="4221694C"/>
    <w:rsid w:val="58AA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13</revision>
  <dcterms:created xsi:type="dcterms:W3CDTF">2018-09-06T09:47:00.0000000Z</dcterms:created>
  <dcterms:modified xsi:type="dcterms:W3CDTF">2022-06-02T09:30:28.8188437Z</dcterms:modified>
</coreProperties>
</file>