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0D650E" w:rsidRPr="00815FDA" w:rsidTr="00B77C53">
        <w:trPr>
          <w:trHeight w:val="1973"/>
        </w:trPr>
        <w:tc>
          <w:tcPr>
            <w:tcW w:w="2353" w:type="dxa"/>
          </w:tcPr>
          <w:p w:rsidR="000D650E" w:rsidRPr="00815FDA" w:rsidRDefault="000D650E" w:rsidP="00B77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5FDA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0F6CB3C" wp14:editId="16DF5B5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1" name="Immagine 1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</w:tcPr>
          <w:p w:rsidR="000D650E" w:rsidRPr="00815FDA" w:rsidRDefault="000D650E" w:rsidP="00B77C53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spacing w:after="0" w:line="240" w:lineRule="auto"/>
              <w:ind w:firstLine="708"/>
              <w:rPr>
                <w:rFonts w:ascii="Arial" w:eastAsia="Times New Roman" w:hAnsi="Arial" w:cs="Arial"/>
                <w:sz w:val="16"/>
                <w:szCs w:val="24"/>
                <w:lang w:eastAsia="it-IT"/>
              </w:rPr>
            </w:pPr>
            <w:r w:rsidRPr="00815F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  <w:r w:rsidRPr="00815F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  <w:r w:rsidRPr="00815F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  <w:r w:rsidRPr="00815FD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C10330" wp14:editId="34A405D8">
                  <wp:extent cx="352425" cy="3143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50E" w:rsidRPr="00815FDA" w:rsidRDefault="000D650E" w:rsidP="00B77C53">
            <w:pPr>
              <w:spacing w:after="0" w:line="240" w:lineRule="auto"/>
              <w:ind w:right="-289"/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815FD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LICEO SCIENTIFICO STATALE</w:t>
            </w:r>
            <w:r w:rsidRPr="00815FD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</w:t>
            </w:r>
            <w:r w:rsidRPr="00815FDA">
              <w:rPr>
                <w:rFonts w:ascii="Arial" w:eastAsia="Times New Roman" w:hAnsi="Arial" w:cs="Arial"/>
                <w:i/>
                <w:sz w:val="40"/>
                <w:szCs w:val="40"/>
                <w:lang w:eastAsia="it-IT"/>
              </w:rPr>
              <w:t>“</w:t>
            </w:r>
            <w:r w:rsidRPr="00815FDA">
              <w:rPr>
                <w:rFonts w:ascii="Arial" w:eastAsia="Times New Roman" w:hAnsi="Arial" w:cs="Arial"/>
                <w:b/>
                <w:i/>
                <w:sz w:val="40"/>
                <w:szCs w:val="40"/>
                <w:lang w:eastAsia="it-IT"/>
              </w:rPr>
              <w:t>E. FERMI</w:t>
            </w:r>
            <w:r w:rsidRPr="00815FDA">
              <w:rPr>
                <w:rFonts w:ascii="Arial" w:eastAsia="Times New Roman" w:hAnsi="Arial" w:cs="Arial"/>
                <w:i/>
                <w:sz w:val="40"/>
                <w:szCs w:val="40"/>
                <w:lang w:eastAsia="it-IT"/>
              </w:rPr>
              <w:t>”</w:t>
            </w:r>
          </w:p>
          <w:p w:rsidR="000D650E" w:rsidRPr="00815FDA" w:rsidRDefault="000D650E" w:rsidP="00B77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815FDA">
              <w:rPr>
                <w:rFonts w:ascii="Arial" w:eastAsia="Times New Roman" w:hAnsi="Arial" w:cs="Arial"/>
                <w:bCs/>
                <w:sz w:val="18"/>
                <w:szCs w:val="24"/>
                <w:lang w:eastAsia="it-IT"/>
              </w:rPr>
              <w:t>SEDE:  VIA  MAZZINI, 172/2° -  40139  BOLOGNA</w:t>
            </w:r>
          </w:p>
          <w:p w:rsidR="000D650E" w:rsidRPr="00815FDA" w:rsidRDefault="000D650E" w:rsidP="00B77C53">
            <w:pPr>
              <w:tabs>
                <w:tab w:val="center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4"/>
                <w:lang w:eastAsia="it-IT"/>
              </w:rPr>
            </w:pPr>
            <w:r w:rsidRPr="00815FDA">
              <w:rPr>
                <w:rFonts w:ascii="Arial" w:eastAsia="Times New Roman" w:hAnsi="Arial" w:cs="Arial"/>
                <w:bCs/>
                <w:sz w:val="16"/>
                <w:szCs w:val="24"/>
                <w:lang w:eastAsia="it-IT"/>
              </w:rPr>
              <w:t>Telefono: 051/4298511 - Fax: 051/392318 - Codice  fiscale: 80074870371</w:t>
            </w:r>
          </w:p>
          <w:p w:rsidR="000D650E" w:rsidRPr="00815FDA" w:rsidRDefault="000D650E" w:rsidP="00B77C53">
            <w:pPr>
              <w:spacing w:after="0" w:line="240" w:lineRule="auto"/>
              <w:ind w:left="1416" w:hanging="438"/>
              <w:rPr>
                <w:rFonts w:ascii="Arial" w:eastAsia="Times New Roman" w:hAnsi="Arial" w:cs="Arial"/>
                <w:sz w:val="8"/>
                <w:szCs w:val="8"/>
                <w:lang w:eastAsia="it-IT"/>
              </w:rPr>
            </w:pPr>
            <w:r w:rsidRPr="00815FDA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 Sede  Associata: Via Nazionale Toscana, 1  -   40068 San Lazzaro di Savena</w:t>
            </w:r>
          </w:p>
          <w:p w:rsidR="000D650E" w:rsidRPr="00815FDA" w:rsidRDefault="000D650E" w:rsidP="00B77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8"/>
                <w:szCs w:val="8"/>
                <w:lang w:eastAsia="it-IT"/>
              </w:rPr>
            </w:pPr>
            <w:r w:rsidRPr="00815FDA">
              <w:rPr>
                <w:rFonts w:ascii="Arial" w:eastAsia="Times New Roman" w:hAnsi="Arial" w:cs="Arial"/>
                <w:bCs/>
                <w:sz w:val="16"/>
                <w:szCs w:val="24"/>
                <w:lang w:eastAsia="it-IT"/>
              </w:rPr>
              <w:t>Telefono: 051/470141  -  Fax: 051/478966</w:t>
            </w:r>
          </w:p>
          <w:p w:rsidR="000D650E" w:rsidRPr="00815FDA" w:rsidRDefault="000D650E" w:rsidP="00B77C53">
            <w:pPr>
              <w:spacing w:after="0" w:line="240" w:lineRule="auto"/>
              <w:ind w:left="616"/>
              <w:rPr>
                <w:rFonts w:ascii="Arial" w:eastAsia="Times New Roman" w:hAnsi="Arial" w:cs="Arial"/>
                <w:bCs/>
                <w:sz w:val="16"/>
                <w:szCs w:val="8"/>
                <w:lang w:eastAsia="it-IT"/>
              </w:rPr>
            </w:pPr>
            <w:r w:rsidRPr="00815FDA">
              <w:rPr>
                <w:rFonts w:ascii="Arial" w:eastAsia="Times New Roman" w:hAnsi="Arial" w:cs="Arial"/>
                <w:bCs/>
                <w:color w:val="0000FF"/>
                <w:sz w:val="16"/>
                <w:szCs w:val="18"/>
                <w:lang w:eastAsia="it-IT"/>
              </w:rPr>
              <w:t>E-mail</w:t>
            </w:r>
            <w:r w:rsidRPr="00815FDA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eastAsia="it-IT"/>
              </w:rPr>
              <w:t xml:space="preserve">: </w:t>
            </w:r>
            <w:hyperlink r:id="rId7" w:history="1">
              <w:r w:rsidRPr="00815FDA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24"/>
                  <w:u w:val="single"/>
                  <w:lang w:eastAsia="it-IT"/>
                </w:rPr>
                <w:t>fermi@liceofermibo.net</w:t>
              </w:r>
            </w:hyperlink>
            <w:r w:rsidRPr="00815FD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eastAsia="it-IT"/>
              </w:rPr>
              <w:t xml:space="preserve">                                    </w:t>
            </w:r>
            <w:r w:rsidRPr="00815FDA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eastAsia="it-IT"/>
              </w:rPr>
              <w:t xml:space="preserve"> </w:t>
            </w:r>
            <w:r w:rsidRPr="00815FDA">
              <w:rPr>
                <w:rFonts w:ascii="Arial" w:eastAsia="Times New Roman" w:hAnsi="Arial" w:cs="Arial"/>
                <w:bCs/>
                <w:color w:val="0000FF"/>
                <w:sz w:val="16"/>
                <w:szCs w:val="18"/>
                <w:lang w:eastAsia="it-IT"/>
              </w:rPr>
              <w:t xml:space="preserve">  Web-site</w:t>
            </w:r>
            <w:r w:rsidRPr="00815FDA">
              <w:rPr>
                <w:rFonts w:ascii="Arial" w:eastAsia="Times New Roman" w:hAnsi="Arial" w:cs="Arial"/>
                <w:bCs/>
                <w:color w:val="0000FF"/>
                <w:sz w:val="16"/>
                <w:szCs w:val="24"/>
                <w:lang w:eastAsia="it-IT"/>
              </w:rPr>
              <w:t xml:space="preserve">: </w:t>
            </w:r>
            <w:r w:rsidRPr="00815FD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24"/>
                <w:lang w:eastAsia="it-IT"/>
              </w:rPr>
              <w:t>www.liceofermibo.net</w:t>
            </w:r>
          </w:p>
        </w:tc>
      </w:tr>
    </w:tbl>
    <w:p w:rsidR="00090ADF" w:rsidRDefault="00090ADF" w:rsidP="001F3E22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90ADF" w:rsidRDefault="00090ADF" w:rsidP="00A81FB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D650E" w:rsidRDefault="000D650E" w:rsidP="00A81FB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</w:pP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PROGRAMMA DI </w:t>
      </w:r>
      <w:r w:rsidRPr="000A63E4">
        <w:rPr>
          <w:rFonts w:ascii="Verdana" w:eastAsia="Times New Roman" w:hAnsi="Verdana" w:cs="Times New Roman"/>
          <w:b/>
          <w:caps/>
          <w:sz w:val="20"/>
          <w:szCs w:val="20"/>
          <w:lang w:eastAsia="it-IT"/>
        </w:rPr>
        <w:t xml:space="preserve">  INGLESE    </w:t>
      </w:r>
      <w:r w:rsidR="00E503F6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DELLA  CLASSE 3^  </w:t>
      </w: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SEZ. </w:t>
      </w:r>
      <w:r w:rsidR="00245123" w:rsidRPr="00FE3959"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  <w:t>B</w:t>
      </w:r>
      <w:r w:rsidRPr="00FE3959"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  <w:t xml:space="preserve">  a. s.   </w:t>
      </w:r>
      <w:r w:rsidR="00DB643B"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  <w:t>2021/2022</w:t>
      </w:r>
    </w:p>
    <w:p w:rsidR="00FE3959" w:rsidRPr="00FE3959" w:rsidRDefault="00FE3959" w:rsidP="00A81FB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it-IT"/>
        </w:rPr>
      </w:pPr>
    </w:p>
    <w:p w:rsidR="000D650E" w:rsidRDefault="00A81FB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</w:pPr>
      <w:r w:rsidRPr="00FE395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 xml:space="preserve">● </w:t>
      </w:r>
      <w:r w:rsidR="00FE395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>Testi</w:t>
      </w:r>
      <w:r w:rsidR="000D650E" w:rsidRPr="00FE395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 xml:space="preserve">:  </w:t>
      </w:r>
      <w:r w:rsidR="00DB64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>Spencer, Gateway to Success B2, Macmillan Education</w:t>
      </w:r>
    </w:p>
    <w:p w:rsidR="00BA2C07" w:rsidRPr="00BA2C07" w:rsidRDefault="00DB643B" w:rsidP="00BA2C07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it-IT"/>
        </w:rPr>
        <w:t xml:space="preserve">              </w:t>
      </w:r>
      <w:r w:rsidR="00FE3959" w:rsidRPr="00BA2C07">
        <w:rPr>
          <w:rFonts w:ascii="Verdana" w:hAnsi="Verdana"/>
          <w:b/>
          <w:color w:val="000000" w:themeColor="text1"/>
          <w:sz w:val="20"/>
          <w:szCs w:val="20"/>
        </w:rPr>
        <w:t>Spicci-Shaw, AMAZING MINDS, Vol. 1</w:t>
      </w:r>
      <w:r w:rsidRPr="00BA2C07">
        <w:rPr>
          <w:rFonts w:ascii="Verdana" w:hAnsi="Verdana"/>
          <w:b/>
          <w:color w:val="000000" w:themeColor="text1"/>
          <w:sz w:val="20"/>
          <w:szCs w:val="20"/>
        </w:rPr>
        <w:t>, Pearson</w:t>
      </w:r>
      <w:r w:rsidR="00BA2C07" w:rsidRPr="00BA2C07">
        <w:rPr>
          <w:rFonts w:ascii="Verdana" w:hAnsi="Verdana"/>
          <w:b/>
          <w:color w:val="000000" w:themeColor="text1"/>
          <w:sz w:val="20"/>
          <w:szCs w:val="20"/>
        </w:rPr>
        <w:br/>
      </w:r>
      <w:r w:rsidR="00BA2C07">
        <w:rPr>
          <w:rFonts w:ascii="Verdana" w:hAnsi="Verdana"/>
          <w:b/>
          <w:color w:val="000000" w:themeColor="text1"/>
          <w:sz w:val="20"/>
          <w:szCs w:val="20"/>
        </w:rPr>
        <w:t xml:space="preserve">              </w:t>
      </w:r>
      <w:r w:rsidR="00BA2C07">
        <w:rPr>
          <w:rFonts w:ascii="Verdana" w:hAnsi="Verdana"/>
          <w:b/>
          <w:sz w:val="20"/>
          <w:szCs w:val="20"/>
        </w:rPr>
        <w:t>Jordan-</w:t>
      </w:r>
      <w:r w:rsidR="00BA2C07" w:rsidRPr="00B260B8">
        <w:rPr>
          <w:rFonts w:ascii="Verdana" w:hAnsi="Verdana"/>
          <w:b/>
          <w:sz w:val="20"/>
          <w:szCs w:val="20"/>
        </w:rPr>
        <w:t>Fiocc</w:t>
      </w:r>
      <w:r w:rsidR="00BA2C07">
        <w:rPr>
          <w:rFonts w:ascii="Verdana" w:hAnsi="Verdana"/>
          <w:b/>
          <w:sz w:val="20"/>
          <w:szCs w:val="20"/>
        </w:rPr>
        <w:t xml:space="preserve">hi: </w:t>
      </w:r>
      <w:r w:rsidR="00BA2C07" w:rsidRPr="00005818">
        <w:rPr>
          <w:rFonts w:ascii="Verdana" w:hAnsi="Verdana"/>
          <w:b/>
          <w:sz w:val="20"/>
          <w:szCs w:val="20"/>
          <w:u w:val="single"/>
        </w:rPr>
        <w:t>Grammar Files Blue Edition</w:t>
      </w:r>
      <w:r w:rsidR="00BA2C07">
        <w:rPr>
          <w:rFonts w:ascii="Verdana" w:hAnsi="Verdana"/>
          <w:b/>
          <w:sz w:val="20"/>
          <w:szCs w:val="20"/>
        </w:rPr>
        <w:t>, Trinity Whitebridge</w:t>
      </w:r>
      <w:r w:rsidR="00BA2C07" w:rsidRPr="00B260B8">
        <w:rPr>
          <w:rFonts w:ascii="Verdana" w:hAnsi="Verdana"/>
          <w:b/>
          <w:sz w:val="20"/>
          <w:szCs w:val="20"/>
        </w:rPr>
        <w:br/>
      </w:r>
      <w:r w:rsidR="00BA2C07" w:rsidRPr="00B260B8">
        <w:rPr>
          <w:rFonts w:ascii="Verdana" w:hAnsi="Verdana"/>
          <w:i/>
          <w:sz w:val="20"/>
          <w:szCs w:val="20"/>
        </w:rPr>
        <w:t xml:space="preserve">    </w:t>
      </w:r>
      <w:r w:rsidR="00BA2C07">
        <w:rPr>
          <w:rFonts w:ascii="Verdana" w:hAnsi="Verdana"/>
          <w:i/>
          <w:sz w:val="20"/>
          <w:szCs w:val="20"/>
        </w:rPr>
        <w:t xml:space="preserve">         </w:t>
      </w:r>
      <w:r w:rsidR="00BA2C07" w:rsidRPr="00B260B8">
        <w:rPr>
          <w:rFonts w:ascii="Verdana" w:hAnsi="Verdana"/>
          <w:i/>
          <w:sz w:val="20"/>
          <w:szCs w:val="20"/>
        </w:rPr>
        <w:t>(utilizzato per rinforzo ed approfondimento delle strutture)</w:t>
      </w:r>
    </w:p>
    <w:p w:rsidR="000D650E" w:rsidRPr="00BA2C07" w:rsidRDefault="000D650E" w:rsidP="001F3E22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color w:val="FF0000"/>
          <w:sz w:val="20"/>
          <w:szCs w:val="20"/>
        </w:rPr>
      </w:pPr>
    </w:p>
    <w:p w:rsidR="00090ADF" w:rsidRPr="00BA2C07" w:rsidRDefault="00090ADF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D650E" w:rsidRPr="000A63E4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>DOCENTE: MARIA LUISA BERTOLINI</w:t>
      </w:r>
    </w:p>
    <w:p w:rsidR="000D650E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90ADF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    </w:t>
      </w:r>
      <w:r w:rsid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               </w:t>
      </w:r>
    </w:p>
    <w:p w:rsidR="000D650E" w:rsidRDefault="00090ADF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                             </w:t>
      </w:r>
      <w:r w:rsidR="000D650E"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>*comprensive delle ore di esercitazione, laboratorio e verifiche</w:t>
      </w:r>
    </w:p>
    <w:p w:rsidR="00090ADF" w:rsidRDefault="00090ADF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90ADF" w:rsidRPr="000A63E4" w:rsidRDefault="00090ADF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0D650E" w:rsidRPr="000A63E4" w:rsidTr="00B77C53">
        <w:trPr>
          <w:cantSplit/>
          <w:trHeight w:val="567"/>
        </w:trPr>
        <w:tc>
          <w:tcPr>
            <w:tcW w:w="8460" w:type="dxa"/>
            <w:vAlign w:val="center"/>
          </w:tcPr>
          <w:p w:rsidR="000D650E" w:rsidRPr="000A63E4" w:rsidRDefault="000D650E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A63E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:rsidR="000D650E" w:rsidRPr="000A63E4" w:rsidRDefault="000D650E" w:rsidP="000D65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A63E4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*Ore dedicate ad ogni argomento</w:t>
            </w:r>
          </w:p>
        </w:tc>
      </w:tr>
      <w:tr w:rsidR="002929C3" w:rsidRPr="000A63E4" w:rsidTr="00B77C53">
        <w:trPr>
          <w:cantSplit/>
          <w:trHeight w:val="567"/>
        </w:trPr>
        <w:tc>
          <w:tcPr>
            <w:tcW w:w="8460" w:type="dxa"/>
            <w:vAlign w:val="center"/>
          </w:tcPr>
          <w:p w:rsidR="002929C3" w:rsidRPr="002929C3" w:rsidRDefault="00DB643B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Da GATEWAY TO SUCCESS</w:t>
            </w:r>
            <w:r w:rsidR="002929C3" w:rsidRPr="002929C3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800" w:type="dxa"/>
            <w:vAlign w:val="center"/>
          </w:tcPr>
          <w:p w:rsidR="002929C3" w:rsidRPr="000A63E4" w:rsidRDefault="002929C3" w:rsidP="000D65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D650E" w:rsidRPr="00DB643B" w:rsidTr="00B77C53">
        <w:trPr>
          <w:cantSplit/>
          <w:trHeight w:val="296"/>
        </w:trPr>
        <w:tc>
          <w:tcPr>
            <w:tcW w:w="10260" w:type="dxa"/>
            <w:gridSpan w:val="2"/>
            <w:vAlign w:val="center"/>
          </w:tcPr>
          <w:p w:rsidR="00BD328F" w:rsidRDefault="0087670B" w:rsidP="000D65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2</w:t>
            </w:r>
            <w:r w:rsidR="000D650E" w:rsidRPr="00D20DF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- Nucleo fondante: Unit 1 </w:t>
            </w:r>
            <w:r w:rsidR="00DB64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GOING TO UNI </w:t>
            </w:r>
            <w:r w:rsidR="00E503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                                      </w:t>
            </w:r>
            <w:r w:rsidR="00E162A7" w:rsidRPr="00A5636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1</w:t>
            </w:r>
            <w:r w:rsidR="00973D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1</w:t>
            </w:r>
          </w:p>
          <w:p w:rsidR="000D650E" w:rsidRPr="00BD328F" w:rsidRDefault="00003F5E" w:rsidP="000D65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2B116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Pr="00D20D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                              </w:t>
            </w:r>
            <w:r w:rsidR="00CC581F" w:rsidRPr="00D20D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 </w:t>
            </w:r>
          </w:p>
        </w:tc>
      </w:tr>
      <w:tr w:rsidR="000D650E" w:rsidRPr="00DB643B" w:rsidTr="00B77C53">
        <w:trPr>
          <w:cantSplit/>
          <w:trHeight w:val="283"/>
        </w:trPr>
        <w:tc>
          <w:tcPr>
            <w:tcW w:w="8460" w:type="dxa"/>
            <w:vAlign w:val="center"/>
          </w:tcPr>
          <w:p w:rsidR="00BD328F" w:rsidRDefault="000D650E" w:rsidP="000D65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20DF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Structures</w:t>
            </w:r>
            <w:r w:rsidR="00FE395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: </w:t>
            </w:r>
            <w:r w:rsidR="00DB643B" w:rsidRPr="00DB64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Present Simple, Present Continuous and present habits</w:t>
            </w:r>
          </w:p>
          <w:p w:rsidR="00DB643B" w:rsidRDefault="00DB643B" w:rsidP="000D65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Stative verbs</w:t>
            </w:r>
          </w:p>
          <w:p w:rsidR="00DB643B" w:rsidRDefault="00DB643B" w:rsidP="000D65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Present Perfect Simple and continuous</w:t>
            </w:r>
          </w:p>
          <w:p w:rsidR="00DB643B" w:rsidRPr="00D20DF8" w:rsidRDefault="00DB643B" w:rsidP="000D65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Gerunds and infinitives</w:t>
            </w:r>
          </w:p>
        </w:tc>
        <w:tc>
          <w:tcPr>
            <w:tcW w:w="1800" w:type="dxa"/>
            <w:vAlign w:val="center"/>
          </w:tcPr>
          <w:p w:rsidR="000D650E" w:rsidRPr="00D20DF8" w:rsidRDefault="000D650E" w:rsidP="000D650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D20D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      </w:t>
            </w:r>
          </w:p>
        </w:tc>
      </w:tr>
      <w:tr w:rsidR="000D650E" w:rsidRPr="00A5636B" w:rsidTr="00B77C53">
        <w:trPr>
          <w:cantSplit/>
          <w:trHeight w:val="175"/>
        </w:trPr>
        <w:tc>
          <w:tcPr>
            <w:tcW w:w="8460" w:type="dxa"/>
          </w:tcPr>
          <w:p w:rsidR="004C4C59" w:rsidRPr="00D20DF8" w:rsidRDefault="000D650E" w:rsidP="00FE3959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 w:rsidRPr="00D20DF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Vocabulary:  </w:t>
            </w:r>
            <w:r w:rsidR="00DB64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Studying at high levels, Life ay university, </w:t>
            </w:r>
            <w:r w:rsidR="00DB643B" w:rsidRPr="00DB643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Do</w:t>
            </w:r>
            <w:r w:rsidR="00DB64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and </w:t>
            </w:r>
            <w:r w:rsidR="00DB643B" w:rsidRPr="00DB643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make</w:t>
            </w:r>
            <w:r w:rsidR="004C4C59" w:rsidRPr="00D20DF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D650E" w:rsidRPr="00D20DF8" w:rsidRDefault="000D650E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FE3959" w:rsidRPr="00A5636B" w:rsidTr="00B77C53">
        <w:trPr>
          <w:cantSplit/>
          <w:trHeight w:val="175"/>
        </w:trPr>
        <w:tc>
          <w:tcPr>
            <w:tcW w:w="8460" w:type="dxa"/>
          </w:tcPr>
          <w:p w:rsidR="00DB643B" w:rsidRPr="00E162A7" w:rsidRDefault="00FE3959" w:rsidP="00FE3959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Skills: </w:t>
            </w:r>
            <w:r w:rsidR="00DB64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Listening: A dialogue about revising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; Readi</w:t>
            </w:r>
            <w:r w:rsidR="00DB64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ng: A chat about life at uni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;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Mayim Bialik; Remote learning: the future of education?; Paving your way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Speaking: </w:t>
            </w:r>
            <w:r w:rsidR="00DB64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giving personal information – preferences</w:t>
            </w:r>
          </w:p>
        </w:tc>
        <w:tc>
          <w:tcPr>
            <w:tcW w:w="1800" w:type="dxa"/>
            <w:vAlign w:val="center"/>
          </w:tcPr>
          <w:p w:rsidR="00FE3959" w:rsidRPr="00D20DF8" w:rsidRDefault="00FE3959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0D650E" w:rsidRPr="000A63E4" w:rsidTr="00B77C53">
        <w:trPr>
          <w:cantSplit/>
          <w:trHeight w:val="187"/>
        </w:trPr>
        <w:tc>
          <w:tcPr>
            <w:tcW w:w="8460" w:type="dxa"/>
          </w:tcPr>
          <w:p w:rsidR="004C4C59" w:rsidRPr="00FE3959" w:rsidRDefault="0087670B" w:rsidP="000D650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3</w:t>
            </w:r>
            <w:r w:rsidR="00FE3959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- Nucleo fondante: Unit 2</w:t>
            </w:r>
            <w:r w:rsidR="000D650E" w:rsidRPr="004C4C59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NINE TO FIVE</w:t>
            </w:r>
            <w:r w:rsidR="004C4C59" w:rsidRPr="004C4C5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 xml:space="preserve">                           </w:t>
            </w:r>
          </w:p>
        </w:tc>
        <w:tc>
          <w:tcPr>
            <w:tcW w:w="1800" w:type="dxa"/>
            <w:vAlign w:val="center"/>
          </w:tcPr>
          <w:p w:rsidR="00E503F6" w:rsidRDefault="00E503F6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  <w:t xml:space="preserve">        </w:t>
            </w:r>
            <w:r w:rsidR="00575386" w:rsidRPr="00A5636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1</w:t>
            </w:r>
            <w:r w:rsidR="00973D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1</w:t>
            </w:r>
          </w:p>
          <w:p w:rsidR="000D650E" w:rsidRPr="000A63E4" w:rsidRDefault="000D650E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D650E" w:rsidRPr="00A5636B" w:rsidTr="00B77C53">
        <w:trPr>
          <w:cantSplit/>
          <w:trHeight w:val="187"/>
        </w:trPr>
        <w:tc>
          <w:tcPr>
            <w:tcW w:w="8460" w:type="dxa"/>
          </w:tcPr>
          <w:p w:rsidR="004C4C59" w:rsidRPr="000861E5" w:rsidRDefault="000D650E" w:rsidP="00FE3959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 w:rsidRPr="000861E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Structures:</w:t>
            </w:r>
            <w:r w:rsidRPr="000861E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Past </w:t>
            </w:r>
            <w:r w:rsidR="00FE395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Simple and 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Past </w:t>
            </w:r>
            <w:r w:rsidR="00FE395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Continuous, 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Past habits: </w:t>
            </w:r>
            <w:r w:rsidR="00E162A7" w:rsidRPr="00E162A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Used to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and </w:t>
            </w:r>
            <w:r w:rsidR="00E162A7" w:rsidRPr="00E162A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Would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; </w:t>
            </w:r>
            <w:r w:rsidR="00E162A7" w:rsidRPr="00E162A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Be used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and </w:t>
            </w:r>
            <w:r w:rsidR="00E162A7" w:rsidRPr="00E162A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get used to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; Past Perfect Simple and continuous</w:t>
            </w:r>
          </w:p>
        </w:tc>
        <w:tc>
          <w:tcPr>
            <w:tcW w:w="1800" w:type="dxa"/>
            <w:vAlign w:val="center"/>
          </w:tcPr>
          <w:p w:rsidR="000D650E" w:rsidRPr="000A63E4" w:rsidRDefault="000D650E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</w:pPr>
          </w:p>
        </w:tc>
      </w:tr>
      <w:tr w:rsidR="000D650E" w:rsidRPr="00A5636B" w:rsidTr="00B77C53">
        <w:trPr>
          <w:cantSplit/>
          <w:trHeight w:val="187"/>
        </w:trPr>
        <w:tc>
          <w:tcPr>
            <w:tcW w:w="8460" w:type="dxa"/>
          </w:tcPr>
          <w:p w:rsidR="004C4C59" w:rsidRPr="000861E5" w:rsidRDefault="00003F5E" w:rsidP="00FE3959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 w:rsidRPr="000861E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Vocabulary: 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Work conditions and responsibilities, Working life, Phrasal verbs connected with work</w:t>
            </w:r>
          </w:p>
        </w:tc>
        <w:tc>
          <w:tcPr>
            <w:tcW w:w="1800" w:type="dxa"/>
            <w:vAlign w:val="center"/>
          </w:tcPr>
          <w:p w:rsidR="000D650E" w:rsidRPr="000A63E4" w:rsidRDefault="000D650E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</w:pPr>
          </w:p>
        </w:tc>
      </w:tr>
      <w:tr w:rsidR="000D650E" w:rsidRPr="00A5636B" w:rsidTr="00B77C53">
        <w:trPr>
          <w:cantSplit/>
          <w:trHeight w:val="187"/>
        </w:trPr>
        <w:tc>
          <w:tcPr>
            <w:tcW w:w="8460" w:type="dxa"/>
          </w:tcPr>
          <w:p w:rsidR="000D650E" w:rsidRPr="00DC1D2F" w:rsidRDefault="00FE3959" w:rsidP="00DC1D2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Skills: 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Listening: Interview about first jobs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, Reading: 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Working life, The jobs you dream of in childhood, The story of Yu Youzhen, 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Diversity in the workplace, Being your own boss, Creating a study HQ, The world of a head hunter; </w:t>
            </w:r>
            <w:r w:rsidR="00E162A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Speaking: Negotiating and collaborating </w:t>
            </w:r>
          </w:p>
        </w:tc>
        <w:tc>
          <w:tcPr>
            <w:tcW w:w="1800" w:type="dxa"/>
            <w:vAlign w:val="center"/>
          </w:tcPr>
          <w:p w:rsidR="000D650E" w:rsidRPr="000A63E4" w:rsidRDefault="000D650E" w:rsidP="000D65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</w:pPr>
          </w:p>
        </w:tc>
      </w:tr>
      <w:tr w:rsidR="00003F5E" w:rsidRPr="00A5636B" w:rsidTr="00B77C53">
        <w:trPr>
          <w:cantSplit/>
          <w:trHeight w:val="259"/>
        </w:trPr>
        <w:tc>
          <w:tcPr>
            <w:tcW w:w="10260" w:type="dxa"/>
            <w:gridSpan w:val="2"/>
          </w:tcPr>
          <w:p w:rsidR="00F24C04" w:rsidRPr="00F24C04" w:rsidRDefault="0087670B" w:rsidP="00003F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4</w:t>
            </w:r>
            <w:r w:rsidR="00003F5E" w:rsidRPr="00F24C0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- Nu</w:t>
            </w:r>
            <w:r w:rsidR="00F24C04" w:rsidRPr="00F24C0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cleo</w:t>
            </w:r>
            <w:r w:rsidR="003612B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fondante: Unit 3</w:t>
            </w:r>
            <w:r w:rsidR="00F24C04" w:rsidRPr="00F24C0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ON THE WAY</w:t>
            </w:r>
            <w:r w:rsidR="00E503F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             </w:t>
            </w:r>
            <w:r w:rsidR="00972FF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    </w:t>
            </w:r>
            <w:r w:rsidR="00A5636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</w:t>
            </w:r>
            <w:r w:rsidR="00575386" w:rsidRPr="00A5636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1</w:t>
            </w:r>
            <w:r w:rsidR="00973D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1</w:t>
            </w:r>
          </w:p>
          <w:p w:rsidR="00003F5E" w:rsidRPr="00972FF4" w:rsidRDefault="00E503F6" w:rsidP="00003F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en-GB" w:eastAsia="it-IT"/>
              </w:rPr>
            </w:pPr>
            <w:r w:rsidRPr="00DC1D2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                                                         </w:t>
            </w:r>
            <w:r w:rsidR="004C4C59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en-GB" w:eastAsia="it-IT"/>
              </w:rPr>
              <w:t xml:space="preserve">                                  </w:t>
            </w:r>
            <w:r w:rsidR="00003F5E" w:rsidRPr="00F24C0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                          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     </w:t>
            </w:r>
            <w:r w:rsidRPr="00E503F6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it-IT"/>
              </w:rPr>
              <w:t xml:space="preserve"> </w:t>
            </w:r>
            <w:r w:rsidR="00003F5E" w:rsidRPr="00E503F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en-GB" w:eastAsia="it-IT"/>
              </w:rPr>
              <w:t xml:space="preserve">                      </w:t>
            </w:r>
            <w:r w:rsidR="00003F5E" w:rsidRPr="00E503F6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it-IT"/>
              </w:rPr>
              <w:t xml:space="preserve"> </w:t>
            </w:r>
          </w:p>
        </w:tc>
      </w:tr>
      <w:tr w:rsidR="00003F5E" w:rsidRPr="00A5636B" w:rsidTr="00B77C53">
        <w:trPr>
          <w:cantSplit/>
          <w:trHeight w:val="283"/>
        </w:trPr>
        <w:tc>
          <w:tcPr>
            <w:tcW w:w="8460" w:type="dxa"/>
            <w:vAlign w:val="center"/>
          </w:tcPr>
          <w:p w:rsidR="00003F5E" w:rsidRPr="00F24C04" w:rsidRDefault="00003F5E" w:rsidP="00003F5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F24C0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Structures</w:t>
            </w:r>
            <w:r w:rsidRPr="00F24C0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: </w:t>
            </w:r>
            <w:r w:rsidR="00F24C04" w:rsidRPr="00F24C0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Future forms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, Expressing the future with time clauses, </w:t>
            </w:r>
            <w:r w:rsidR="003612B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Future Continuous, Future Perfect Simple and Continuous</w:t>
            </w:r>
          </w:p>
        </w:tc>
        <w:tc>
          <w:tcPr>
            <w:tcW w:w="1800" w:type="dxa"/>
            <w:vAlign w:val="center"/>
          </w:tcPr>
          <w:p w:rsidR="00003F5E" w:rsidRPr="00F24C04" w:rsidRDefault="00003F5E" w:rsidP="00003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</w:tr>
      <w:tr w:rsidR="00003F5E" w:rsidRPr="00A5636B" w:rsidTr="00B77C53">
        <w:trPr>
          <w:cantSplit/>
          <w:trHeight w:val="175"/>
        </w:trPr>
        <w:tc>
          <w:tcPr>
            <w:tcW w:w="8460" w:type="dxa"/>
          </w:tcPr>
          <w:p w:rsidR="00003F5E" w:rsidRPr="00A81FBE" w:rsidRDefault="00003F5E" w:rsidP="00003F5E">
            <w:pPr>
              <w:spacing w:after="0" w:line="240" w:lineRule="auto"/>
              <w:ind w:right="63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 w:rsidRPr="00A81FBE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Vocabulary: 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 xml:space="preserve">Words connected with transport and travel; </w:t>
            </w:r>
            <w:r w:rsidR="00E020D7" w:rsidRPr="00E020D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it-IT"/>
              </w:rPr>
              <w:t>Journey, travel, trip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 xml:space="preserve">, </w:t>
            </w:r>
            <w:r w:rsidR="00E020D7" w:rsidRPr="00E020D7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it-IT"/>
              </w:rPr>
              <w:t>voyage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, prefixes</w:t>
            </w:r>
          </w:p>
        </w:tc>
        <w:tc>
          <w:tcPr>
            <w:tcW w:w="1800" w:type="dxa"/>
            <w:vAlign w:val="center"/>
          </w:tcPr>
          <w:p w:rsidR="00003F5E" w:rsidRPr="00A81FBE" w:rsidRDefault="00003F5E" w:rsidP="00003F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it-IT"/>
              </w:rPr>
            </w:pPr>
          </w:p>
        </w:tc>
      </w:tr>
      <w:tr w:rsidR="00003F5E" w:rsidRPr="00A5636B" w:rsidTr="00B77C53">
        <w:trPr>
          <w:cantSplit/>
          <w:trHeight w:val="175"/>
        </w:trPr>
        <w:tc>
          <w:tcPr>
            <w:tcW w:w="8460" w:type="dxa"/>
          </w:tcPr>
          <w:p w:rsidR="00090ADF" w:rsidRPr="00F24C04" w:rsidRDefault="003612B6" w:rsidP="00F24C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Skills: 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Listening: A radio programme about drones;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Reading: 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An article about next level transport, A Japanese success story; Reading and Listening: The instagrammability, factor in tourism</w:t>
            </w:r>
          </w:p>
        </w:tc>
        <w:tc>
          <w:tcPr>
            <w:tcW w:w="1800" w:type="dxa"/>
            <w:vAlign w:val="center"/>
          </w:tcPr>
          <w:p w:rsidR="00003F5E" w:rsidRPr="000A63E4" w:rsidRDefault="00003F5E" w:rsidP="00003F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it-IT"/>
              </w:rPr>
            </w:pPr>
          </w:p>
        </w:tc>
      </w:tr>
      <w:tr w:rsidR="003612B6" w:rsidRPr="00FE3959" w:rsidTr="00B77C53">
        <w:trPr>
          <w:cantSplit/>
          <w:trHeight w:val="175"/>
        </w:trPr>
        <w:tc>
          <w:tcPr>
            <w:tcW w:w="8460" w:type="dxa"/>
          </w:tcPr>
          <w:p w:rsidR="003612B6" w:rsidRDefault="0087670B" w:rsidP="00F24C0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lastRenderedPageBreak/>
              <w:t>5</w:t>
            </w:r>
            <w:r w:rsidR="003612B6" w:rsidRPr="00F24C0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- Nucleo</w:t>
            </w:r>
            <w:r w:rsidR="003612B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fondante: Unit 4 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EXTRAORDINARY TALENTS</w:t>
            </w:r>
          </w:p>
          <w:p w:rsidR="0011608D" w:rsidRDefault="0011608D" w:rsidP="00F24C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</w:p>
        </w:tc>
        <w:tc>
          <w:tcPr>
            <w:tcW w:w="1800" w:type="dxa"/>
            <w:vAlign w:val="center"/>
          </w:tcPr>
          <w:p w:rsidR="003612B6" w:rsidRPr="000A63E4" w:rsidRDefault="00A5636B" w:rsidP="00003F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</w:t>
            </w:r>
            <w:r w:rsidR="00575386" w:rsidRPr="0057538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1</w:t>
            </w:r>
            <w:r w:rsidR="00973D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1</w:t>
            </w:r>
          </w:p>
        </w:tc>
      </w:tr>
      <w:tr w:rsidR="003612B6" w:rsidRPr="00A5636B" w:rsidTr="00B77C53">
        <w:trPr>
          <w:cantSplit/>
          <w:trHeight w:val="175"/>
        </w:trPr>
        <w:tc>
          <w:tcPr>
            <w:tcW w:w="8460" w:type="dxa"/>
          </w:tcPr>
          <w:p w:rsidR="003612B6" w:rsidRDefault="003612B6" w:rsidP="00F24C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 w:rsidRPr="00F24C0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Structures</w:t>
            </w:r>
            <w:r w:rsidRPr="00F24C0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:</w:t>
            </w:r>
            <w:r w:rsidR="002929C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Comparative and Superlative adjectives and adverbs</w:t>
            </w:r>
            <w:r w:rsidR="00A51FD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; Other ways of making comparisons; Articles; </w:t>
            </w:r>
            <w:r w:rsidR="00A51FD1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GB" w:eastAsia="it-IT"/>
              </w:rPr>
              <w:t>So, such, too, enough</w:t>
            </w:r>
          </w:p>
        </w:tc>
        <w:tc>
          <w:tcPr>
            <w:tcW w:w="1800" w:type="dxa"/>
            <w:vAlign w:val="center"/>
          </w:tcPr>
          <w:p w:rsidR="003612B6" w:rsidRPr="000A63E4" w:rsidRDefault="003612B6" w:rsidP="00003F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it-IT"/>
              </w:rPr>
            </w:pPr>
          </w:p>
        </w:tc>
      </w:tr>
      <w:tr w:rsidR="003612B6" w:rsidRPr="00A5636B" w:rsidTr="00B77C53">
        <w:trPr>
          <w:cantSplit/>
          <w:trHeight w:val="175"/>
        </w:trPr>
        <w:tc>
          <w:tcPr>
            <w:tcW w:w="8460" w:type="dxa"/>
          </w:tcPr>
          <w:p w:rsidR="003612B6" w:rsidRDefault="002929C3" w:rsidP="00F24C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 w:rsidRPr="00A81FBE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Vocabulary: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Personality Adjectives</w:t>
            </w:r>
            <w:r w:rsidR="00A51FD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>, Noun suffixes</w:t>
            </w:r>
          </w:p>
        </w:tc>
        <w:tc>
          <w:tcPr>
            <w:tcW w:w="1800" w:type="dxa"/>
            <w:vAlign w:val="center"/>
          </w:tcPr>
          <w:p w:rsidR="003612B6" w:rsidRPr="000A63E4" w:rsidRDefault="003612B6" w:rsidP="00003F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it-IT"/>
              </w:rPr>
            </w:pPr>
          </w:p>
        </w:tc>
      </w:tr>
      <w:tr w:rsidR="003612B6" w:rsidRPr="00A5636B" w:rsidTr="00B77C53">
        <w:trPr>
          <w:cantSplit/>
          <w:trHeight w:val="175"/>
        </w:trPr>
        <w:tc>
          <w:tcPr>
            <w:tcW w:w="8460" w:type="dxa"/>
          </w:tcPr>
          <w:p w:rsidR="003612B6" w:rsidRPr="001F3E22" w:rsidRDefault="002929C3" w:rsidP="00F24C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 w:rsidRPr="001F3E22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Skills: 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Listening: </w:t>
            </w:r>
            <w:r w:rsidR="00A51FD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A radio interview about a show;</w:t>
            </w:r>
            <w:r w:rsidRPr="001F3E2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Reading: </w:t>
            </w:r>
            <w:r w:rsidR="00A51FD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>The incredible rise of Dynamo</w:t>
            </w:r>
            <w:r w:rsidR="00E020D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612B6" w:rsidRPr="000A63E4" w:rsidRDefault="003612B6" w:rsidP="00003F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it-IT"/>
              </w:rPr>
            </w:pPr>
          </w:p>
        </w:tc>
      </w:tr>
      <w:tr w:rsidR="00003F5E" w:rsidRPr="00245123" w:rsidTr="00B77C53">
        <w:trPr>
          <w:cantSplit/>
          <w:trHeight w:val="296"/>
        </w:trPr>
        <w:tc>
          <w:tcPr>
            <w:tcW w:w="10260" w:type="dxa"/>
            <w:gridSpan w:val="2"/>
            <w:vAlign w:val="center"/>
          </w:tcPr>
          <w:p w:rsidR="00003F5E" w:rsidRPr="001F3E22" w:rsidRDefault="00003F5E" w:rsidP="002451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</w:pPr>
          </w:p>
          <w:p w:rsidR="00245123" w:rsidRPr="002929C3" w:rsidRDefault="002929C3" w:rsidP="002929C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it-IT"/>
              </w:rPr>
              <w:t>Da</w:t>
            </w:r>
            <w:r w:rsidRPr="002929C3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it-IT"/>
              </w:rPr>
              <w:t xml:space="preserve"> AMAZING MINDS:</w:t>
            </w:r>
          </w:p>
        </w:tc>
      </w:tr>
      <w:tr w:rsidR="00003F5E" w:rsidRPr="00A5636B" w:rsidTr="00B77C53">
        <w:trPr>
          <w:cantSplit/>
          <w:trHeight w:val="296"/>
        </w:trPr>
        <w:tc>
          <w:tcPr>
            <w:tcW w:w="10260" w:type="dxa"/>
            <w:gridSpan w:val="2"/>
            <w:vAlign w:val="center"/>
          </w:tcPr>
          <w:p w:rsidR="00003F5E" w:rsidRPr="00352E34" w:rsidRDefault="002929C3" w:rsidP="00003F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5</w:t>
            </w:r>
            <w:r w:rsidR="00003F5E" w:rsidRPr="00352E3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- Nucleo fondante: POETRY </w:t>
            </w:r>
            <w:r w:rsidR="00245123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>AND THE MIDDLE AGES</w:t>
            </w:r>
            <w:r w:rsidR="00003F5E" w:rsidRPr="00352E3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  </w:t>
            </w:r>
            <w:r w:rsidR="00AC60A6" w:rsidRPr="00352E3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</w:t>
            </w:r>
            <w:r w:rsidR="00464B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003F5E" w:rsidRPr="00352E3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3F5E" w:rsidRPr="00A81FBE" w:rsidTr="00B77C53">
        <w:trPr>
          <w:cantSplit/>
          <w:trHeight w:val="283"/>
        </w:trPr>
        <w:tc>
          <w:tcPr>
            <w:tcW w:w="8460" w:type="dxa"/>
            <w:vAlign w:val="center"/>
          </w:tcPr>
          <w:p w:rsidR="00003F5E" w:rsidRDefault="00245123" w:rsidP="00003F5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 w:rsidRP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US" w:eastAsia="it-IT"/>
              </w:rPr>
              <w:t xml:space="preserve">Literary lexicon </w:t>
            </w:r>
            <w:r w:rsidRPr="00245123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0"/>
                <w:lang w:val="en-US" w:eastAsia="it-IT"/>
              </w:rPr>
              <w:t>(fotocopia)</w:t>
            </w:r>
            <w:r w:rsidRP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r w:rsidR="00A81FBE" w:rsidRP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r w:rsidRP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US" w:eastAsia="it-IT"/>
              </w:rPr>
              <w:br/>
            </w:r>
            <w:r w:rsidR="00A81FBE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Elements of poetry: </w:t>
            </w:r>
            <w:r w:rsidR="00003F5E" w:rsidRPr="00352E34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Features of a poetic text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Pr="00245123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0"/>
                <w:lang w:val="en-US" w:eastAsia="it-IT"/>
              </w:rPr>
              <w:t>(fotocopia)</w:t>
            </w:r>
            <w:r w:rsidRP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US" w:eastAsia="it-IT"/>
              </w:rPr>
              <w:t xml:space="preserve">  </w:t>
            </w:r>
          </w:p>
          <w:p w:rsidR="00003F5E" w:rsidRDefault="00003F5E" w:rsidP="00003F5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 w:rsidRPr="00352E34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The Medieval Ballad</w:t>
            </w:r>
            <w:r w:rsidR="002929C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 p. 36</w:t>
            </w:r>
          </w:p>
          <w:p w:rsidR="00A81FBE" w:rsidRPr="00352E34" w:rsidRDefault="00A81FBE" w:rsidP="00003F5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Song: Where the Wild Roses Grow (Nick Cave)</w:t>
            </w:r>
            <w:r w:rsidR="002929C3" w:rsidRPr="00245123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0"/>
                <w:lang w:val="en-US" w:eastAsia="it-IT"/>
              </w:rPr>
              <w:t xml:space="preserve"> (fotocopia)</w:t>
            </w:r>
            <w:r w:rsidR="002929C3" w:rsidRP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US" w:eastAsia="it-IT"/>
              </w:rPr>
              <w:t xml:space="preserve">  </w:t>
            </w:r>
          </w:p>
          <w:p w:rsidR="00A81FBE" w:rsidRDefault="00003F5E" w:rsidP="00003F5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</w:pPr>
            <w:r w:rsidRPr="00352E34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Anonymous:</w:t>
            </w:r>
            <w:r w:rsidRPr="00A81FBE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A81FBE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>Lord Randal</w:t>
            </w:r>
            <w:r w:rsidR="002929C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 xml:space="preserve"> pp. 48-51</w:t>
            </w:r>
          </w:p>
          <w:p w:rsidR="00003F5E" w:rsidRDefault="00464BA6" w:rsidP="00003F5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Song: A Hard Rain is a-gonna fall (Bob Dylan)</w:t>
            </w:r>
            <w:r w:rsidR="002929C3" w:rsidRPr="00245123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0"/>
                <w:lang w:val="en-US" w:eastAsia="it-IT"/>
              </w:rPr>
              <w:t xml:space="preserve"> (fotocopia)</w:t>
            </w:r>
            <w:r w:rsidR="002929C3" w:rsidRP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US" w:eastAsia="it-IT"/>
              </w:rPr>
              <w:t xml:space="preserve">  </w:t>
            </w:r>
          </w:p>
          <w:p w:rsidR="000A63E4" w:rsidRPr="00464BA6" w:rsidRDefault="00464BA6" w:rsidP="00003F5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Hilaire Belloc: </w:t>
            </w:r>
            <w:r w:rsidRPr="00464BA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>Ballad of Hell and of Mrs. Roebeck</w:t>
            </w:r>
            <w:r w:rsidR="002929C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 xml:space="preserve"> </w:t>
            </w:r>
            <w:r w:rsidR="002929C3" w:rsidRPr="00245123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0"/>
                <w:lang w:val="en-US" w:eastAsia="it-IT"/>
              </w:rPr>
              <w:t>(fotocopia)</w:t>
            </w:r>
            <w:r w:rsidR="002929C3" w:rsidRP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US" w:eastAsia="it-IT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003F5E" w:rsidRPr="00352E34" w:rsidRDefault="00003F5E" w:rsidP="00003F5E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</w:pPr>
            <w:r w:rsidRPr="00352E3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</w:t>
            </w:r>
            <w:r w:rsidR="00973D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20</w:t>
            </w:r>
            <w:r w:rsidRPr="00352E3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 w:eastAsia="it-IT"/>
              </w:rPr>
              <w:t xml:space="preserve">       </w:t>
            </w:r>
          </w:p>
        </w:tc>
      </w:tr>
      <w:tr w:rsidR="00003F5E" w:rsidRPr="00A5636B" w:rsidTr="00B77C53">
        <w:trPr>
          <w:cantSplit/>
          <w:trHeight w:val="259"/>
        </w:trPr>
        <w:tc>
          <w:tcPr>
            <w:tcW w:w="10260" w:type="dxa"/>
            <w:gridSpan w:val="2"/>
          </w:tcPr>
          <w:p w:rsidR="00003F5E" w:rsidRPr="00464BA6" w:rsidRDefault="00245123" w:rsidP="00003F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7</w:t>
            </w:r>
            <w:r w:rsidR="00003F5E" w:rsidRPr="00464BA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- Nucleo </w:t>
            </w:r>
            <w:r w:rsidR="00464BA6" w:rsidRPr="00464BA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>fondante: POETRY IN THE ELIZABETHAN AND JACOBEAN AGE</w:t>
            </w:r>
            <w:r w:rsidR="00AC60A6" w:rsidRPr="00464BA6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it-IT"/>
              </w:rPr>
              <w:t xml:space="preserve">                                                                                            </w:t>
            </w:r>
          </w:p>
        </w:tc>
      </w:tr>
      <w:tr w:rsidR="00003F5E" w:rsidRPr="001247F1" w:rsidTr="00B77C53">
        <w:trPr>
          <w:cantSplit/>
          <w:trHeight w:val="283"/>
        </w:trPr>
        <w:tc>
          <w:tcPr>
            <w:tcW w:w="8460" w:type="dxa"/>
            <w:vAlign w:val="center"/>
          </w:tcPr>
          <w:p w:rsidR="00464BA6" w:rsidRPr="001247F1" w:rsidRDefault="002929C3" w:rsidP="00464BA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it-IT"/>
              </w:rPr>
            </w:pPr>
            <w:r w:rsidRPr="008028A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it-IT"/>
              </w:rPr>
              <w:t xml:space="preserve">Elizabeth I and the Renaissance: cultural background </w:t>
            </w:r>
            <w:r w:rsidRPr="008028A6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it-IT"/>
              </w:rPr>
              <w:t>(cenni)</w:t>
            </w:r>
            <w:r w:rsidR="00464BA6" w:rsidRPr="00352E34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br/>
              <w:t>Difference between Petrarchan Sonnet and Elizabethan Sonnet</w:t>
            </w:r>
            <w:r w:rsidR="001247F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 </w:t>
            </w:r>
            <w:r w:rsidR="001247F1" w:rsidRPr="00245123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0"/>
                <w:lang w:val="en-US" w:eastAsia="it-IT"/>
              </w:rPr>
              <w:t>(fotocopia)</w:t>
            </w:r>
            <w:r w:rsidR="001247F1" w:rsidRP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US" w:eastAsia="it-IT"/>
              </w:rPr>
              <w:t xml:space="preserve">  </w:t>
            </w:r>
          </w:p>
          <w:p w:rsidR="00464BA6" w:rsidRDefault="00464BA6" w:rsidP="00464BA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 w:rsidRPr="00352E34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Shakespearian Sonnet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s</w:t>
            </w:r>
            <w:r w:rsidR="001247F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 p. 171-172</w:t>
            </w:r>
          </w:p>
          <w:p w:rsidR="00464BA6" w:rsidRPr="00352E34" w:rsidRDefault="00464BA6" w:rsidP="00464BA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</w:pPr>
            <w:r w:rsidRPr="00352E34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W. Shakespeare: </w:t>
            </w:r>
            <w:r w:rsid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>Sonnet 18,</w:t>
            </w:r>
            <w:r w:rsidRPr="00352E34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 xml:space="preserve"> Shall I compare</w:t>
            </w:r>
            <w:r w:rsidR="001247F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 xml:space="preserve"> </w:t>
            </w:r>
            <w:r w:rsidR="001247F1" w:rsidRPr="001247F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pp. 174-175</w:t>
            </w:r>
          </w:p>
          <w:p w:rsidR="00003F5E" w:rsidRDefault="00464BA6" w:rsidP="00464BA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 w:rsidRPr="00352E34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W. Shakespeare: </w:t>
            </w:r>
            <w:r w:rsidR="00245123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>Sonnet 130,</w:t>
            </w:r>
            <w:r w:rsidRPr="00352E34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 xml:space="preserve"> My Mistress’ Eyes</w:t>
            </w:r>
            <w:r w:rsidR="001247F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 xml:space="preserve"> </w:t>
            </w:r>
            <w:r w:rsidR="001247F1" w:rsidRPr="001247F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p. 176</w:t>
            </w:r>
          </w:p>
          <w:p w:rsidR="00575386" w:rsidRDefault="00575386" w:rsidP="00464BA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The stereotype of the Dark Lady </w:t>
            </w:r>
            <w:r w:rsidRPr="00575386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0"/>
                <w:lang w:val="en-GB" w:eastAsia="it-IT"/>
              </w:rPr>
              <w:t>(PPT)</w:t>
            </w:r>
          </w:p>
          <w:p w:rsidR="001247F1" w:rsidRDefault="001247F1" w:rsidP="00464BA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James I and the Stuart period </w:t>
            </w:r>
            <w:r w:rsidRPr="001247F1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20"/>
                <w:szCs w:val="20"/>
                <w:lang w:val="en-GB" w:eastAsia="it-IT"/>
              </w:rPr>
              <w:t>(cenni)</w:t>
            </w:r>
          </w:p>
          <w:p w:rsidR="00464BA6" w:rsidRDefault="00464BA6" w:rsidP="00464BA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 w:rsidRPr="00464BA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The Metaphysic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al P</w:t>
            </w:r>
            <w:r w:rsidRPr="00464BA6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oets</w:t>
            </w:r>
            <w:r w:rsidR="001247F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 p. 202</w:t>
            </w:r>
          </w:p>
          <w:p w:rsidR="001247F1" w:rsidRDefault="001247F1" w:rsidP="00464BA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>John Donne: biography, Songs and Sonnets, use of conceits pp. 232,233</w:t>
            </w:r>
          </w:p>
          <w:p w:rsidR="00464BA6" w:rsidRPr="00464BA6" w:rsidRDefault="00464BA6" w:rsidP="00464BA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val="en-GB" w:eastAsia="it-IT"/>
              </w:rPr>
              <w:t xml:space="preserve">John Donne: </w:t>
            </w:r>
            <w:r w:rsidRPr="00E42F55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>A Valediction: Forbidding Mourning</w:t>
            </w:r>
            <w:r w:rsidR="001247F1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u w:val="single"/>
                <w:lang w:val="en-GB" w:eastAsia="it-IT"/>
              </w:rPr>
              <w:t xml:space="preserve"> pp. 233-235</w:t>
            </w:r>
          </w:p>
        </w:tc>
        <w:tc>
          <w:tcPr>
            <w:tcW w:w="1800" w:type="dxa"/>
            <w:vAlign w:val="center"/>
          </w:tcPr>
          <w:p w:rsidR="00003F5E" w:rsidRPr="00A81FBE" w:rsidRDefault="00972FF4" w:rsidP="00972F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  <w:t xml:space="preserve">       </w:t>
            </w:r>
            <w:r w:rsidR="00575386"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  <w:t>1</w:t>
            </w:r>
            <w:r w:rsidR="00973DB2"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  <w:t>4</w:t>
            </w:r>
            <w:bookmarkStart w:id="0" w:name="_GoBack"/>
            <w:bookmarkEnd w:id="0"/>
          </w:p>
        </w:tc>
      </w:tr>
    </w:tbl>
    <w:p w:rsidR="00003F5E" w:rsidRPr="002903C0" w:rsidRDefault="00003F5E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245123" w:rsidRPr="002903C0" w:rsidRDefault="00245123" w:rsidP="00F24C04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245123" w:rsidRPr="002903C0" w:rsidRDefault="00245123" w:rsidP="00F24C04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03F5E" w:rsidRDefault="00003F5E" w:rsidP="00F24C04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Le ore dedicate ai singoli nuclei fondanti si riferiscono alla presentazione ed esercizio di tali nuclei, ma, data la specificità della materia, gli argomenti, le funzioni ed </w:t>
      </w:r>
      <w:r w:rsidR="00E42F5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il </w:t>
      </w: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>lessico sono stati ripresi ciclicamente.</w:t>
      </w:r>
    </w:p>
    <w:p w:rsidR="00A5636B" w:rsidRDefault="00A5636B" w:rsidP="00F24C04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A5636B" w:rsidRDefault="00A5636B" w:rsidP="00A563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Attività di ascolto</w:t>
      </w:r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gran parte dell</w:t>
      </w:r>
      <w:r>
        <w:rPr>
          <w:rFonts w:ascii="Verdana" w:hAnsi="Verdana"/>
          <w:sz w:val="20"/>
          <w:szCs w:val="20"/>
        </w:rPr>
        <w:t>e attività di ascolto delle Unità svolte</w:t>
      </w:r>
      <w:r>
        <w:rPr>
          <w:rFonts w:ascii="Verdana" w:hAnsi="Verdana"/>
          <w:sz w:val="20"/>
          <w:szCs w:val="20"/>
        </w:rPr>
        <w:t xml:space="preserve"> nel testo </w:t>
      </w:r>
      <w:r w:rsidRPr="00A5636B">
        <w:rPr>
          <w:rFonts w:ascii="Verdana" w:hAnsi="Verdana"/>
          <w:sz w:val="20"/>
          <w:szCs w:val="20"/>
          <w:u w:val="single"/>
        </w:rPr>
        <w:t>Gateway to success</w:t>
      </w:r>
      <w:r>
        <w:rPr>
          <w:rFonts w:ascii="Verdana" w:hAnsi="Verdana"/>
          <w:sz w:val="20"/>
          <w:szCs w:val="20"/>
        </w:rPr>
        <w:t>.</w:t>
      </w:r>
    </w:p>
    <w:p w:rsidR="00A5636B" w:rsidRDefault="00A5636B" w:rsidP="00A563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Testo New Grammar Files</w:t>
      </w:r>
      <w:r>
        <w:rPr>
          <w:rFonts w:ascii="Verdana" w:hAnsi="Verdana"/>
          <w:sz w:val="20"/>
          <w:szCs w:val="20"/>
        </w:rPr>
        <w:t>: il testo è stato usato per esercizi di rinforzo sulle strutture presentate durante l’anno.</w:t>
      </w:r>
    </w:p>
    <w:p w:rsidR="00A5636B" w:rsidRDefault="00A5636B" w:rsidP="00A5636B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  <w:r w:rsidRPr="002E2746">
        <w:rPr>
          <w:rFonts w:ascii="Verdana" w:hAnsi="Verdana"/>
          <w:b/>
          <w:color w:val="000000" w:themeColor="text1"/>
          <w:sz w:val="20"/>
          <w:szCs w:val="20"/>
          <w:u w:val="single"/>
        </w:rPr>
        <w:t>Lettorato</w:t>
      </w:r>
      <w:r>
        <w:rPr>
          <w:rFonts w:ascii="Verdana" w:hAnsi="Verdana"/>
          <w:color w:val="000000" w:themeColor="text1"/>
          <w:sz w:val="20"/>
          <w:szCs w:val="20"/>
        </w:rPr>
        <w:t>: Sono state sv</w:t>
      </w:r>
      <w:r>
        <w:rPr>
          <w:rFonts w:ascii="Verdana" w:hAnsi="Verdana"/>
          <w:color w:val="000000" w:themeColor="text1"/>
          <w:sz w:val="20"/>
          <w:szCs w:val="20"/>
        </w:rPr>
        <w:t>olte 5 ore in compresenza con il lettore Martin Burnett-Stuart</w:t>
      </w:r>
      <w:r>
        <w:rPr>
          <w:rFonts w:ascii="Verdana" w:hAnsi="Verdana"/>
          <w:color w:val="000000" w:themeColor="text1"/>
          <w:sz w:val="20"/>
          <w:szCs w:val="20"/>
        </w:rPr>
        <w:t xml:space="preserve"> su argomenti di attualità vari.</w:t>
      </w:r>
    </w:p>
    <w:p w:rsidR="00A5636B" w:rsidRPr="00C4321C" w:rsidRDefault="00A5636B" w:rsidP="00A5636B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  <w:r w:rsidRPr="002E2746">
        <w:rPr>
          <w:rFonts w:ascii="Verdana" w:hAnsi="Verdana"/>
          <w:b/>
          <w:color w:val="000000" w:themeColor="text1"/>
          <w:sz w:val="20"/>
          <w:szCs w:val="20"/>
          <w:u w:val="single"/>
        </w:rPr>
        <w:t>Recupero</w:t>
      </w:r>
      <w:r>
        <w:rPr>
          <w:rFonts w:ascii="Verdana" w:hAnsi="Verdana"/>
          <w:color w:val="000000" w:themeColor="text1"/>
          <w:sz w:val="20"/>
          <w:szCs w:val="20"/>
        </w:rPr>
        <w:t xml:space="preserve">: In itinere, + 3 ore di recupero delle principali strutture durante la prima settimana di </w:t>
      </w:r>
      <w:r w:rsidRPr="00C4321C">
        <w:rPr>
          <w:rFonts w:ascii="Verdana" w:hAnsi="Verdana"/>
          <w:color w:val="000000" w:themeColor="text1"/>
          <w:sz w:val="20"/>
          <w:szCs w:val="20"/>
        </w:rPr>
        <w:t>gennaio.</w:t>
      </w:r>
    </w:p>
    <w:p w:rsidR="00003F5E" w:rsidRDefault="00BD328F" w:rsidP="00A5636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hAnsi="Verdana"/>
          <w:b/>
          <w:sz w:val="20"/>
          <w:szCs w:val="20"/>
          <w:u w:val="single"/>
        </w:rPr>
        <w:t>Letture estive:</w:t>
      </w:r>
      <w:r w:rsidRPr="00D97CB9">
        <w:rPr>
          <w:rFonts w:ascii="Verdana" w:hAnsi="Verdana"/>
          <w:color w:val="000000" w:themeColor="text1"/>
          <w:sz w:val="20"/>
          <w:szCs w:val="20"/>
        </w:rPr>
        <w:t xml:space="preserve"> Per le vacanze estive si richiede la lettura di:</w:t>
      </w:r>
      <w:r w:rsidRPr="00D97CB9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 w:rsidR="00D97CB9" w:rsidRPr="00D97CB9">
        <w:rPr>
          <w:rFonts w:ascii="Verdana" w:hAnsi="Verdana"/>
          <w:color w:val="000000" w:themeColor="text1"/>
          <w:sz w:val="20"/>
          <w:szCs w:val="20"/>
          <w:u w:val="single"/>
        </w:rPr>
        <w:t xml:space="preserve">W. Shakespeare, </w:t>
      </w:r>
      <w:r w:rsidR="00D97CB9" w:rsidRPr="00D97CB9">
        <w:rPr>
          <w:rFonts w:ascii="Verdana" w:hAnsi="Verdana"/>
          <w:b/>
          <w:color w:val="000000" w:themeColor="text1"/>
          <w:sz w:val="20"/>
          <w:szCs w:val="20"/>
          <w:u w:val="single"/>
        </w:rPr>
        <w:t>The Tempest</w:t>
      </w:r>
      <w:r w:rsidR="00D97CB9" w:rsidRPr="00D97CB9">
        <w:rPr>
          <w:rFonts w:ascii="Verdana" w:hAnsi="Verdana"/>
          <w:color w:val="000000" w:themeColor="text1"/>
          <w:sz w:val="20"/>
          <w:szCs w:val="20"/>
          <w:u w:val="single"/>
        </w:rPr>
        <w:t xml:space="preserve">, collana </w:t>
      </w:r>
      <w:r w:rsidRPr="00D97CB9">
        <w:rPr>
          <w:rFonts w:ascii="Verdana" w:hAnsi="Verdana"/>
          <w:color w:val="000000" w:themeColor="text1"/>
          <w:sz w:val="20"/>
          <w:szCs w:val="20"/>
          <w:u w:val="single"/>
        </w:rPr>
        <w:t>“Reading and Training” ed. CIDEB Black Cat,</w:t>
      </w:r>
      <w:r w:rsidR="00D97CB9" w:rsidRPr="00D97CB9">
        <w:rPr>
          <w:rFonts w:ascii="Verdana" w:hAnsi="Verdana"/>
          <w:color w:val="000000" w:themeColor="text1"/>
          <w:sz w:val="20"/>
          <w:szCs w:val="20"/>
        </w:rPr>
        <w:t xml:space="preserve"> ISBN </w:t>
      </w:r>
      <w:r w:rsidR="00D97CB9" w:rsidRPr="00D97CB9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9788853014184,</w:t>
      </w:r>
      <w:r w:rsidR="00D97CB9" w:rsidRPr="00D9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D97CB9">
        <w:rPr>
          <w:rFonts w:ascii="Verdana" w:hAnsi="Verdana"/>
          <w:color w:val="000000" w:themeColor="text1"/>
          <w:sz w:val="20"/>
          <w:szCs w:val="20"/>
        </w:rPr>
        <w:t>€ 9.80, e di effettuare tutti gli esercizi e le attività che accompagnano il testo.</w:t>
      </w:r>
    </w:p>
    <w:p w:rsidR="00A5636B" w:rsidRPr="00A5636B" w:rsidRDefault="00A5636B" w:rsidP="00A5636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3F5E" w:rsidRPr="000A63E4" w:rsidRDefault="00245123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Bologna, li </w:t>
      </w:r>
      <w:r w:rsidR="00A51FD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30/05/2022</w:t>
      </w:r>
    </w:p>
    <w:p w:rsidR="00A5636B" w:rsidRDefault="00A5636B" w:rsidP="00A5636B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A5636B" w:rsidRPr="000A63E4" w:rsidRDefault="00A5636B" w:rsidP="00A5636B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FIRMA DEL DOCENTE    </w:t>
      </w: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>FIRMA DEI RAPPR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ESENTANTI DI CLASSE, COMPONENTE </w:t>
      </w: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>STUDENTI</w:t>
      </w:r>
    </w:p>
    <w:p w:rsidR="00003F5E" w:rsidRPr="000A63E4" w:rsidRDefault="00003F5E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A63E4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      </w:t>
      </w:r>
    </w:p>
    <w:p w:rsidR="00003F5E" w:rsidRPr="000A63E4" w:rsidRDefault="00003F5E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03F5E" w:rsidRPr="000A63E4" w:rsidRDefault="00A5636B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Maria Luisa Bertolini                                       Arianna Bonafé            Luca Esposito</w:t>
      </w:r>
    </w:p>
    <w:p w:rsidR="00003F5E" w:rsidRPr="000A63E4" w:rsidRDefault="00003F5E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03F5E" w:rsidRPr="000A63E4" w:rsidRDefault="00003F5E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03F5E" w:rsidRPr="000A63E4" w:rsidRDefault="00003F5E" w:rsidP="00003F5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0D650E" w:rsidRPr="000D650E" w:rsidRDefault="000D650E" w:rsidP="000D650E">
      <w:pPr>
        <w:tabs>
          <w:tab w:val="left" w:pos="8280"/>
          <w:tab w:val="left" w:pos="900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3702BE" w:rsidRPr="000D650E" w:rsidRDefault="003702BE">
      <w:pPr>
        <w:rPr>
          <w:lang w:val="en-GB"/>
        </w:rPr>
      </w:pPr>
    </w:p>
    <w:sectPr w:rsidR="003702BE" w:rsidRPr="000D650E" w:rsidSect="00A5636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7A9F"/>
    <w:multiLevelType w:val="hybridMultilevel"/>
    <w:tmpl w:val="C68A3EE0"/>
    <w:lvl w:ilvl="0" w:tplc="EDFC84A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98"/>
    <w:rsid w:val="00003F5E"/>
    <w:rsid w:val="000861E5"/>
    <w:rsid w:val="00090ADF"/>
    <w:rsid w:val="000A63E4"/>
    <w:rsid w:val="000D650E"/>
    <w:rsid w:val="0011608D"/>
    <w:rsid w:val="001247F1"/>
    <w:rsid w:val="001A3D75"/>
    <w:rsid w:val="001B788D"/>
    <w:rsid w:val="001F3E22"/>
    <w:rsid w:val="00245123"/>
    <w:rsid w:val="00245D86"/>
    <w:rsid w:val="002903C0"/>
    <w:rsid w:val="002929C3"/>
    <w:rsid w:val="002B116C"/>
    <w:rsid w:val="003128ED"/>
    <w:rsid w:val="00352E34"/>
    <w:rsid w:val="003612B6"/>
    <w:rsid w:val="003702BE"/>
    <w:rsid w:val="00464BA6"/>
    <w:rsid w:val="004C4C59"/>
    <w:rsid w:val="00575386"/>
    <w:rsid w:val="00795154"/>
    <w:rsid w:val="007B4DDE"/>
    <w:rsid w:val="00805498"/>
    <w:rsid w:val="0087670B"/>
    <w:rsid w:val="00914D23"/>
    <w:rsid w:val="00947F4E"/>
    <w:rsid w:val="009539F4"/>
    <w:rsid w:val="00972FF4"/>
    <w:rsid w:val="00973DB2"/>
    <w:rsid w:val="00A51FD1"/>
    <w:rsid w:val="00A5636B"/>
    <w:rsid w:val="00A81FBE"/>
    <w:rsid w:val="00AC60A6"/>
    <w:rsid w:val="00BA2C07"/>
    <w:rsid w:val="00BD328F"/>
    <w:rsid w:val="00C3344C"/>
    <w:rsid w:val="00CC581F"/>
    <w:rsid w:val="00D20DF8"/>
    <w:rsid w:val="00D35A06"/>
    <w:rsid w:val="00D97CB9"/>
    <w:rsid w:val="00DB643B"/>
    <w:rsid w:val="00DC1D2F"/>
    <w:rsid w:val="00E020D7"/>
    <w:rsid w:val="00E162A7"/>
    <w:rsid w:val="00E42F55"/>
    <w:rsid w:val="00E503F6"/>
    <w:rsid w:val="00E91F18"/>
    <w:rsid w:val="00ED44F1"/>
    <w:rsid w:val="00F24C04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48A4"/>
  <w15:chartTrackingRefBased/>
  <w15:docId w15:val="{F5BF4285-B11C-4A55-8B5C-FDF075E3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6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mi@liceofermib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Utente di Microsoft Office</cp:lastModifiedBy>
  <cp:revision>28</cp:revision>
  <cp:lastPrinted>2019-05-31T18:08:00Z</cp:lastPrinted>
  <dcterms:created xsi:type="dcterms:W3CDTF">2016-05-20T14:38:00Z</dcterms:created>
  <dcterms:modified xsi:type="dcterms:W3CDTF">2022-05-23T14:42:00Z</dcterms:modified>
</cp:coreProperties>
</file>